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E24BE7">
      <w:pPr>
        <w:jc w:val="center"/>
        <w:rPr>
          <w:rFonts w:hint="eastAsia" w:asciiTheme="majorEastAsia" w:hAnsiTheme="majorEastAsia" w:eastAsiaTheme="majorEastAsia"/>
          <w:b/>
          <w:bCs/>
          <w:color w:val="auto"/>
          <w:sz w:val="36"/>
          <w:szCs w:val="36"/>
          <w:highlight w:val="none"/>
          <w:lang w:eastAsia="zh-CN"/>
        </w:rPr>
      </w:pPr>
      <w:r>
        <w:rPr>
          <w:rFonts w:hint="eastAsia" w:asciiTheme="majorEastAsia" w:hAnsiTheme="majorEastAsia" w:eastAsiaTheme="majorEastAsia"/>
          <w:b/>
          <w:bCs/>
          <w:color w:val="auto"/>
          <w:sz w:val="36"/>
          <w:szCs w:val="36"/>
          <w:highlight w:val="none"/>
          <w:lang w:val="en-US" w:eastAsia="zh-CN"/>
        </w:rPr>
        <w:t>南平新武夷交通建设有限公司低空经济服务供应商库</w:t>
      </w:r>
      <w:r>
        <w:rPr>
          <w:rFonts w:hint="eastAsia" w:asciiTheme="majorEastAsia" w:hAnsiTheme="majorEastAsia" w:eastAsiaTheme="majorEastAsia"/>
          <w:b/>
          <w:bCs/>
          <w:color w:val="auto"/>
          <w:sz w:val="36"/>
          <w:szCs w:val="36"/>
          <w:highlight w:val="none"/>
        </w:rPr>
        <w:t>入围结果公示</w:t>
      </w:r>
    </w:p>
    <w:p w14:paraId="115A28F6">
      <w:pPr>
        <w:rPr>
          <w:rFonts w:hint="eastAsia"/>
          <w:color w:val="auto"/>
          <w:highlight w:val="none"/>
        </w:rPr>
      </w:pPr>
    </w:p>
    <w:p w14:paraId="10C385D5">
      <w:pPr>
        <w:keepNext w:val="0"/>
        <w:keepLines w:val="0"/>
        <w:pageBreakBefore w:val="0"/>
        <w:widowControl w:val="0"/>
        <w:kinsoku/>
        <w:wordWrap w:val="0"/>
        <w:overflowPunct/>
        <w:topLinePunct w:val="0"/>
        <w:autoSpaceDE/>
        <w:autoSpaceDN/>
        <w:bidi w:val="0"/>
        <w:adjustRightInd/>
        <w:snapToGrid/>
        <w:ind w:firstLine="560" w:firstLineChars="200"/>
        <w:textAlignment w:val="auto"/>
        <w:rPr>
          <w:rFonts w:hint="eastAsia" w:asciiTheme="minorEastAsia" w:hAnsiTheme="minorEastAsia"/>
          <w:color w:val="auto"/>
          <w:sz w:val="28"/>
          <w:szCs w:val="28"/>
          <w:highlight w:val="none"/>
          <w:lang w:eastAsia="zh-CN"/>
        </w:rPr>
      </w:pPr>
      <w:r>
        <w:rPr>
          <w:rFonts w:hint="eastAsia" w:asciiTheme="minorEastAsia" w:hAnsiTheme="minorEastAsia"/>
          <w:color w:val="auto"/>
          <w:sz w:val="28"/>
          <w:szCs w:val="28"/>
          <w:highlight w:val="none"/>
          <w:lang w:val="en-US" w:eastAsia="zh-CN"/>
        </w:rPr>
        <w:t>南平新武夷交通建设有限公司</w:t>
      </w:r>
      <w:r>
        <w:rPr>
          <w:rFonts w:hint="eastAsia" w:asciiTheme="minorEastAsia" w:hAnsiTheme="minorEastAsia"/>
          <w:color w:val="auto"/>
          <w:sz w:val="28"/>
          <w:szCs w:val="28"/>
          <w:highlight w:val="none"/>
          <w:lang w:eastAsia="zh-CN"/>
        </w:rPr>
        <w:t>于202</w:t>
      </w:r>
      <w:r>
        <w:rPr>
          <w:rFonts w:hint="eastAsia" w:asciiTheme="minorEastAsia" w:hAnsiTheme="minorEastAsia"/>
          <w:color w:val="auto"/>
          <w:sz w:val="28"/>
          <w:szCs w:val="28"/>
          <w:highlight w:val="none"/>
          <w:lang w:val="en-US" w:eastAsia="zh-CN"/>
        </w:rPr>
        <w:t>5</w:t>
      </w:r>
      <w:r>
        <w:rPr>
          <w:rFonts w:hint="eastAsia" w:asciiTheme="minorEastAsia" w:hAnsiTheme="minorEastAsia"/>
          <w:color w:val="auto"/>
          <w:sz w:val="28"/>
          <w:szCs w:val="28"/>
          <w:highlight w:val="none"/>
          <w:lang w:eastAsia="zh-CN"/>
        </w:rPr>
        <w:t>年</w:t>
      </w:r>
      <w:r>
        <w:rPr>
          <w:rFonts w:hint="eastAsia" w:asciiTheme="minorEastAsia" w:hAnsiTheme="minorEastAsia"/>
          <w:color w:val="auto"/>
          <w:sz w:val="28"/>
          <w:szCs w:val="28"/>
          <w:highlight w:val="none"/>
          <w:lang w:val="en-US" w:eastAsia="zh-CN"/>
        </w:rPr>
        <w:t>12</w:t>
      </w:r>
      <w:r>
        <w:rPr>
          <w:rFonts w:hint="eastAsia" w:asciiTheme="minorEastAsia" w:hAnsiTheme="minorEastAsia"/>
          <w:color w:val="auto"/>
          <w:sz w:val="28"/>
          <w:szCs w:val="28"/>
          <w:highlight w:val="none"/>
          <w:lang w:eastAsia="zh-CN"/>
        </w:rPr>
        <w:t>月</w:t>
      </w:r>
      <w:r>
        <w:rPr>
          <w:rFonts w:hint="eastAsia" w:asciiTheme="minorEastAsia" w:hAnsiTheme="minorEastAsia"/>
          <w:color w:val="auto"/>
          <w:sz w:val="28"/>
          <w:szCs w:val="28"/>
          <w:highlight w:val="none"/>
          <w:lang w:val="en-US" w:eastAsia="zh-CN"/>
        </w:rPr>
        <w:t>15</w:t>
      </w:r>
      <w:r>
        <w:rPr>
          <w:rFonts w:hint="eastAsia" w:asciiTheme="minorEastAsia" w:hAnsiTheme="minorEastAsia"/>
          <w:color w:val="auto"/>
          <w:sz w:val="28"/>
          <w:szCs w:val="28"/>
          <w:highlight w:val="none"/>
          <w:lang w:eastAsia="zh-CN"/>
        </w:rPr>
        <w:t>日在中国招标投标公共服务平台(http://www.cebpubservice.com/)、海易招电子招标投标交易平台(www.hyebid.cn)、南平武夷发展集团有限公司网站(www.wuyijt.com)上发布招录公告,于202</w:t>
      </w:r>
      <w:r>
        <w:rPr>
          <w:rFonts w:hint="eastAsia" w:asciiTheme="minorEastAsia" w:hAnsiTheme="minorEastAsia"/>
          <w:color w:val="auto"/>
          <w:sz w:val="28"/>
          <w:szCs w:val="28"/>
          <w:highlight w:val="none"/>
          <w:lang w:val="en-US" w:eastAsia="zh-CN"/>
        </w:rPr>
        <w:t>6</w:t>
      </w:r>
      <w:r>
        <w:rPr>
          <w:rFonts w:hint="eastAsia" w:asciiTheme="minorEastAsia" w:hAnsiTheme="minorEastAsia"/>
          <w:color w:val="auto"/>
          <w:sz w:val="28"/>
          <w:szCs w:val="28"/>
          <w:highlight w:val="none"/>
          <w:lang w:eastAsia="zh-CN"/>
        </w:rPr>
        <w:t>年1月</w:t>
      </w:r>
      <w:r>
        <w:rPr>
          <w:rFonts w:hint="eastAsia" w:asciiTheme="minorEastAsia" w:hAnsiTheme="minorEastAsia"/>
          <w:color w:val="auto"/>
          <w:sz w:val="28"/>
          <w:szCs w:val="28"/>
          <w:highlight w:val="none"/>
          <w:lang w:val="en-US" w:eastAsia="zh-CN"/>
        </w:rPr>
        <w:t>5</w:t>
      </w:r>
      <w:r>
        <w:rPr>
          <w:rFonts w:hint="eastAsia" w:asciiTheme="minorEastAsia" w:hAnsiTheme="minorEastAsia"/>
          <w:color w:val="auto"/>
          <w:sz w:val="28"/>
          <w:szCs w:val="28"/>
          <w:highlight w:val="none"/>
          <w:lang w:eastAsia="zh-CN"/>
        </w:rPr>
        <w:t>日福建晖源工程咨询有限公司开标室开标,至投录截止时间 202</w:t>
      </w:r>
      <w:r>
        <w:rPr>
          <w:rFonts w:hint="eastAsia" w:asciiTheme="minorEastAsia" w:hAnsiTheme="minorEastAsia"/>
          <w:color w:val="auto"/>
          <w:sz w:val="28"/>
          <w:szCs w:val="28"/>
          <w:highlight w:val="none"/>
          <w:lang w:val="en-US" w:eastAsia="zh-CN"/>
        </w:rPr>
        <w:t>6</w:t>
      </w:r>
      <w:r>
        <w:rPr>
          <w:rFonts w:hint="eastAsia" w:asciiTheme="minorEastAsia" w:hAnsiTheme="minorEastAsia"/>
          <w:color w:val="auto"/>
          <w:sz w:val="28"/>
          <w:szCs w:val="28"/>
          <w:highlight w:val="none"/>
          <w:lang w:eastAsia="zh-CN"/>
        </w:rPr>
        <w:t>年1月</w:t>
      </w:r>
      <w:r>
        <w:rPr>
          <w:rFonts w:hint="eastAsia" w:asciiTheme="minorEastAsia" w:hAnsiTheme="minorEastAsia"/>
          <w:color w:val="auto"/>
          <w:sz w:val="28"/>
          <w:szCs w:val="28"/>
          <w:highlight w:val="none"/>
          <w:lang w:val="en-US" w:eastAsia="zh-CN"/>
        </w:rPr>
        <w:t>5</w:t>
      </w:r>
      <w:r>
        <w:rPr>
          <w:rFonts w:hint="eastAsia" w:asciiTheme="minorEastAsia" w:hAnsiTheme="minorEastAsia"/>
          <w:color w:val="auto"/>
          <w:sz w:val="28"/>
          <w:szCs w:val="28"/>
          <w:highlight w:val="none"/>
          <w:lang w:eastAsia="zh-CN"/>
        </w:rPr>
        <w:t>日上午09:00止，无人机赛事承办服务供应商类别共有6位投录人递交投录文件，无人机设备供应商类别共有</w:t>
      </w:r>
      <w:r>
        <w:rPr>
          <w:rFonts w:hint="eastAsia" w:asciiTheme="minorEastAsia" w:hAnsiTheme="minorEastAsia"/>
          <w:color w:val="auto"/>
          <w:sz w:val="28"/>
          <w:szCs w:val="28"/>
          <w:highlight w:val="none"/>
          <w:lang w:val="en-US" w:eastAsia="zh-CN"/>
        </w:rPr>
        <w:t>1</w:t>
      </w:r>
      <w:r>
        <w:rPr>
          <w:rFonts w:hint="eastAsia" w:asciiTheme="minorEastAsia" w:hAnsiTheme="minorEastAsia"/>
          <w:color w:val="auto"/>
          <w:sz w:val="28"/>
          <w:szCs w:val="28"/>
          <w:highlight w:val="none"/>
          <w:lang w:eastAsia="zh-CN"/>
        </w:rPr>
        <w:t>1位投录人递交投录文件；无人机培训服务供应商类别共有6位投录人递交投录文件。评审委员会依据招录文件规定，对所有递交投录文件的投录人进行资格及符合性审查，现将入围情况公示如下：</w:t>
      </w:r>
    </w:p>
    <w:p w14:paraId="3913F470">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一、招录人：南平新武夷交通建设有限公司</w:t>
      </w:r>
    </w:p>
    <w:p w14:paraId="3DB31114">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 xml:space="preserve">地址：福建省南平市建阳区武夷新区将口组团武夷山东站站前北路1号       </w:t>
      </w:r>
    </w:p>
    <w:p w14:paraId="70AAB939">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联系人：卢先生</w:t>
      </w:r>
    </w:p>
    <w:p w14:paraId="5D25851A">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电话：0599-5622667（福建晖源工程咨询有限公司）、15880281011</w:t>
      </w:r>
    </w:p>
    <w:p w14:paraId="5F99AEBB">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二、被废录的进入评审的投录人名称及原因：</w:t>
      </w:r>
    </w:p>
    <w:p w14:paraId="71D3B0C7">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(1)无人机培训服务类别</w:t>
      </w:r>
    </w:p>
    <w:p w14:paraId="094D4495">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1、武夷云翼(南平)无人机科技有限公司递交的投录文件中：财务状况证明材料、业绩证明材料、“信用中国”网站截图打印件等内容未按招录文件要求加盖公章，投录文件也无骑缝章；未按招录文件要求提供依法缴纳税收的证明材料，未响应招录文件第三章服务内容及要求，也未提供相应承诺函。不符合实质性要求，按废录处理。</w:t>
      </w:r>
    </w:p>
    <w:p w14:paraId="00387A95">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2、南平木鸢科技有限公司递交的投录文件中：提供的无人机培训使用电脑购买合同的对应发票无效，该发票号码在国家税务总局网站上查询结果为查无此票；未按招录文件要求提供持有不少于5台培训用无人机的购买合同。不符合招录文件要求，按废录处理。</w:t>
      </w:r>
    </w:p>
    <w:p w14:paraId="672F5B30">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3、福建峰航通用航空科技发展有限公司递交的投录文件中：提供的缴纳税收凭据为2024年1月20日至2024年12月20日，不符合招录文件要求，按废录处理。</w:t>
      </w:r>
    </w:p>
    <w:p w14:paraId="1380CE04">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(2)无人机设备供应商类别</w:t>
      </w:r>
    </w:p>
    <w:p w14:paraId="4BC940C0">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1、建瓯苑林科技有限公司递交的投录文件中：未提供品牌生产厂家出具的授权函或经销证明，提供的业绩证明材料中销售合同的发票号码经国家税务总局网站查询，查询结果为不一致；不符合招录文件要求，按废录处理。</w:t>
      </w:r>
    </w:p>
    <w:p w14:paraId="758930AB">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2、南平市农福农业科技有限公司递交的投录文件中：未明确其作为生产厂家或经销商、代理商身份参加投录，未见生产许可证或品牌生产厂家出具的授权函；未按招录文件要求提供财务状况证明材料和企业内资情况登记表，未对招录文件第三章服务内容及要求进行实质性响应。不符合招录文件要求，按废录处理。</w:t>
      </w:r>
    </w:p>
    <w:p w14:paraId="4C2A76BF">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3、福州市飞防农业科技有限公司递交的投录文件中：未明确其作为生产厂家或经销商、代理商身份参加投录，未见生产许可证或生产厂家出具的授权函；未按招录文件要求提供工商部门出具的内资企业情况登记表；未对招录文件第三章服务内容及要求进行实质性响应。不符合招录文件要求，按废录处理。</w:t>
      </w:r>
    </w:p>
    <w:p w14:paraId="20A47B8D">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4、福建东南航空科技有限公司递交的投录文件中：提供的业绩证明材料中销售合同的发票号码经国家税务总局网站查询，查询结果为不一致，业绩证明材料无效；不符合招录文件要求，按废录处理。</w:t>
      </w:r>
    </w:p>
    <w:p w14:paraId="66BCED95">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5、福建嘉翼航空科技有限公司递交的投录文件中：未明确其作为生产厂家或经销商、代理商身份参加投录，未见生产许可证或品牌生产厂家出具的授权函。不符合招录文件要求，按废录处理。</w:t>
      </w:r>
    </w:p>
    <w:p w14:paraId="598A6890">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6、南平木鸢科技有限公司递交的投录文件中：提供的品牌生产厂家出具的授权函不在有效期内，不符合招录文件要求，按废录处理。</w:t>
      </w:r>
    </w:p>
    <w:p w14:paraId="0C70564D">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7、建瓯市智飞农业科技有限公司递交的投录文件中：未明确其作为生产厂家或经销商、代理商身份参加投录，未见生产许可证或品牌生产厂家出具的授权函。未按招录文件要求提供财务状况证明材料；提供的业绩证明材料中发票号码经国家税务总局网站查询，查询结果为查无此票，业绩证明材料无效。不符合招录文件要求，按废录处理。</w:t>
      </w:r>
    </w:p>
    <w:p w14:paraId="4E22E2CA">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8、幻飞智控科技(上海)有限公司递交的投录文件中：未按招录文件要求提供工商部门出具的内资企业情况登记表，提供的品牌生产厂家出具的授权函不在有效期内，不符合招录文件要求，按废录处理。</w:t>
      </w:r>
    </w:p>
    <w:p w14:paraId="2DFAB335">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(3)无人机赛事承办服务供应商</w:t>
      </w:r>
    </w:p>
    <w:p w14:paraId="5473C2D3">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1、建瓯市智飞农业科技有限公司递交的投录文件中：未按招录文件要求提供财务状况证明材料，不符合招录文件要求，按废录处理。</w:t>
      </w:r>
    </w:p>
    <w:p w14:paraId="7E1F48A4">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Theme="minorEastAsia" w:hAnsiTheme="minorEastAsia"/>
          <w:color w:val="auto"/>
          <w:sz w:val="28"/>
          <w:szCs w:val="28"/>
          <w:highlight w:val="none"/>
          <w:lang w:eastAsia="zh-CN"/>
        </w:rPr>
      </w:pPr>
      <w:r>
        <w:rPr>
          <w:rFonts w:hint="eastAsia" w:asciiTheme="minorEastAsia" w:hAnsiTheme="minorEastAsia"/>
          <w:color w:val="auto"/>
          <w:sz w:val="28"/>
          <w:szCs w:val="28"/>
          <w:highlight w:val="none"/>
          <w:lang w:eastAsia="zh-CN"/>
        </w:rPr>
        <w:t>三、入围单位名单如下(以下排名不分先后):</w:t>
      </w:r>
    </w:p>
    <w:p w14:paraId="6C4BD50B">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（1）无人机赛事承办服务供应商类别:建瓯苑林科技有限公司、南平市建阳区7号编程教育科技有限公司、福建省连江县贝思特逸飞科技培训中心有限公司、南平木鸢科技有限公司、福建福莱航空科技有限公司。</w:t>
      </w:r>
    </w:p>
    <w:p w14:paraId="1609D0C0">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（2）无人机设备供应商类别:福州浩海通信技术有限公司、福建北斗时空科技有限公司福建福莱航空科技有限公司。</w:t>
      </w:r>
    </w:p>
    <w:p w14:paraId="3AA623C6">
      <w:pPr>
        <w:ind w:firstLine="560" w:firstLineChars="200"/>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（3）无人机培训服务供应商类别:福建福莱航空科技有限公司、福建东南航空科技有限公司、福建省中京无人机科技集团有限公司。</w:t>
      </w:r>
    </w:p>
    <w:p w14:paraId="3E393DF7">
      <w:pPr>
        <w:ind w:firstLine="560" w:firstLineChars="200"/>
        <w:rPr>
          <w:rFonts w:hint="default" w:asciiTheme="minorEastAsia" w:hAnsiTheme="minorEastAsia" w:eastAsiaTheme="minorEastAsia"/>
          <w:color w:val="auto"/>
          <w:sz w:val="28"/>
          <w:szCs w:val="28"/>
          <w:highlight w:val="none"/>
          <w:lang w:val="en-US" w:eastAsia="zh-CN"/>
        </w:rPr>
      </w:pPr>
      <w:r>
        <w:rPr>
          <w:rFonts w:hint="eastAsia" w:asciiTheme="minorEastAsia" w:hAnsiTheme="minorEastAsia"/>
          <w:color w:val="auto"/>
          <w:sz w:val="28"/>
          <w:szCs w:val="28"/>
          <w:highlight w:val="none"/>
          <w:lang w:eastAsia="zh-CN"/>
        </w:rPr>
        <w:t>四、评审委托会成员名单：黄素珍（组长）、邱朝标、李丽贞、林锋、卢望君。</w:t>
      </w:r>
    </w:p>
    <w:p w14:paraId="415AD16E">
      <w:pPr>
        <w:ind w:firstLine="560" w:firstLineChars="200"/>
        <w:rPr>
          <w:rFonts w:hint="eastAsia" w:asciiTheme="minorEastAsia" w:hAnsiTheme="minorEastAsia"/>
          <w:color w:val="auto"/>
          <w:sz w:val="28"/>
          <w:szCs w:val="28"/>
          <w:highlight w:val="none"/>
        </w:rPr>
      </w:pPr>
      <w:r>
        <w:rPr>
          <w:rFonts w:hint="eastAsia" w:asciiTheme="minorEastAsia" w:hAnsiTheme="minorEastAsia"/>
          <w:color w:val="auto"/>
          <w:sz w:val="28"/>
          <w:szCs w:val="28"/>
          <w:highlight w:val="none"/>
        </w:rPr>
        <w:t>如投录人对评录结果有异议，请于公示期202</w:t>
      </w:r>
      <w:r>
        <w:rPr>
          <w:rFonts w:hint="eastAsia" w:asciiTheme="minorEastAsia" w:hAnsiTheme="minorEastAsia"/>
          <w:color w:val="auto"/>
          <w:sz w:val="28"/>
          <w:szCs w:val="28"/>
          <w:highlight w:val="none"/>
          <w:lang w:val="en-US" w:eastAsia="zh-CN"/>
        </w:rPr>
        <w:t>6</w:t>
      </w:r>
      <w:r>
        <w:rPr>
          <w:rFonts w:hint="eastAsia" w:asciiTheme="minorEastAsia" w:hAnsiTheme="minorEastAsia"/>
          <w:color w:val="auto"/>
          <w:sz w:val="28"/>
          <w:szCs w:val="28"/>
          <w:highlight w:val="none"/>
        </w:rPr>
        <w:t>年</w:t>
      </w:r>
      <w:r>
        <w:rPr>
          <w:rFonts w:hint="eastAsia" w:asciiTheme="minorEastAsia" w:hAnsiTheme="minorEastAsia"/>
          <w:color w:val="auto"/>
          <w:sz w:val="28"/>
          <w:szCs w:val="28"/>
          <w:highlight w:val="none"/>
          <w:lang w:val="en-US" w:eastAsia="zh-CN"/>
        </w:rPr>
        <w:t>1</w:t>
      </w:r>
      <w:r>
        <w:rPr>
          <w:rFonts w:hint="eastAsia" w:asciiTheme="minorEastAsia" w:hAnsiTheme="minorEastAsia"/>
          <w:color w:val="auto"/>
          <w:sz w:val="28"/>
          <w:szCs w:val="28"/>
          <w:highlight w:val="none"/>
        </w:rPr>
        <w:t>月</w:t>
      </w:r>
      <w:r>
        <w:rPr>
          <w:rFonts w:hint="eastAsia" w:asciiTheme="minorEastAsia" w:hAnsiTheme="minorEastAsia"/>
          <w:color w:val="auto"/>
          <w:sz w:val="28"/>
          <w:szCs w:val="28"/>
          <w:highlight w:val="none"/>
          <w:lang w:val="en-US" w:eastAsia="zh-CN"/>
        </w:rPr>
        <w:t>6</w:t>
      </w:r>
      <w:r>
        <w:rPr>
          <w:rFonts w:hint="eastAsia" w:asciiTheme="minorEastAsia" w:hAnsiTheme="minorEastAsia"/>
          <w:color w:val="auto"/>
          <w:sz w:val="28"/>
          <w:szCs w:val="28"/>
          <w:highlight w:val="none"/>
        </w:rPr>
        <w:t>日</w:t>
      </w:r>
      <w:r>
        <w:rPr>
          <w:rFonts w:hint="eastAsia" w:asciiTheme="minorEastAsia" w:hAnsiTheme="minorEastAsia"/>
          <w:color w:val="auto"/>
          <w:sz w:val="28"/>
          <w:szCs w:val="28"/>
          <w:highlight w:val="none"/>
          <w:lang w:eastAsia="zh-CN"/>
        </w:rPr>
        <w:t>至</w:t>
      </w:r>
      <w:r>
        <w:rPr>
          <w:rFonts w:hint="eastAsia" w:asciiTheme="minorEastAsia" w:hAnsiTheme="minorEastAsia"/>
          <w:color w:val="auto"/>
          <w:sz w:val="28"/>
          <w:szCs w:val="28"/>
          <w:highlight w:val="none"/>
        </w:rPr>
        <w:t>202</w:t>
      </w:r>
      <w:r>
        <w:rPr>
          <w:rFonts w:hint="eastAsia" w:asciiTheme="minorEastAsia" w:hAnsiTheme="minorEastAsia"/>
          <w:color w:val="auto"/>
          <w:sz w:val="28"/>
          <w:szCs w:val="28"/>
          <w:highlight w:val="none"/>
          <w:lang w:val="en-US" w:eastAsia="zh-CN"/>
        </w:rPr>
        <w:t>6</w:t>
      </w:r>
      <w:r>
        <w:rPr>
          <w:rFonts w:hint="eastAsia" w:asciiTheme="minorEastAsia" w:hAnsiTheme="minorEastAsia"/>
          <w:color w:val="auto"/>
          <w:sz w:val="28"/>
          <w:szCs w:val="28"/>
          <w:highlight w:val="none"/>
        </w:rPr>
        <w:t>年</w:t>
      </w:r>
      <w:r>
        <w:rPr>
          <w:rFonts w:hint="eastAsia" w:asciiTheme="minorEastAsia" w:hAnsiTheme="minorEastAsia"/>
          <w:color w:val="auto"/>
          <w:sz w:val="28"/>
          <w:szCs w:val="28"/>
          <w:highlight w:val="none"/>
          <w:lang w:val="en-US" w:eastAsia="zh-CN"/>
        </w:rPr>
        <w:t>1</w:t>
      </w:r>
      <w:r>
        <w:rPr>
          <w:rFonts w:hint="eastAsia" w:asciiTheme="minorEastAsia" w:hAnsiTheme="minorEastAsia"/>
          <w:color w:val="auto"/>
          <w:sz w:val="28"/>
          <w:szCs w:val="28"/>
          <w:highlight w:val="none"/>
        </w:rPr>
        <w:t>月</w:t>
      </w:r>
      <w:r>
        <w:rPr>
          <w:rFonts w:hint="eastAsia" w:asciiTheme="minorEastAsia" w:hAnsiTheme="minorEastAsia"/>
          <w:color w:val="auto"/>
          <w:sz w:val="28"/>
          <w:szCs w:val="28"/>
          <w:highlight w:val="none"/>
          <w:lang w:val="en-US" w:eastAsia="zh-CN"/>
        </w:rPr>
        <w:t>9</w:t>
      </w:r>
      <w:r>
        <w:rPr>
          <w:rFonts w:hint="eastAsia" w:asciiTheme="minorEastAsia" w:hAnsiTheme="minorEastAsia"/>
          <w:color w:val="auto"/>
          <w:sz w:val="28"/>
          <w:szCs w:val="28"/>
          <w:highlight w:val="none"/>
        </w:rPr>
        <w:t>日内以书面形式（盖法人单位公章和法定代表人签字，并注明电话、地址和联系人）向</w:t>
      </w:r>
      <w:r>
        <w:rPr>
          <w:rFonts w:hint="eastAsia" w:asciiTheme="minorEastAsia" w:hAnsiTheme="minorEastAsia"/>
          <w:color w:val="auto"/>
          <w:sz w:val="28"/>
          <w:szCs w:val="28"/>
          <w:highlight w:val="none"/>
          <w:lang w:val="en-US" w:eastAsia="zh-CN"/>
        </w:rPr>
        <w:t>南平新武夷交通建设有限公司</w:t>
      </w:r>
      <w:r>
        <w:rPr>
          <w:rFonts w:hint="eastAsia" w:asciiTheme="minorEastAsia" w:hAnsiTheme="minorEastAsia"/>
          <w:bCs/>
          <w:color w:val="auto"/>
          <w:sz w:val="28"/>
          <w:szCs w:val="28"/>
          <w:highlight w:val="none"/>
        </w:rPr>
        <w:t>反映，逾期不予受理。</w:t>
      </w:r>
    </w:p>
    <w:p w14:paraId="67BCC4B1">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招录人：南平新武夷交通建</w:t>
      </w:r>
      <w:bookmarkStart w:id="0" w:name="_GoBack"/>
      <w:bookmarkEnd w:id="0"/>
      <w:r>
        <w:rPr>
          <w:rFonts w:hint="eastAsia" w:asciiTheme="minorEastAsia" w:hAnsiTheme="minorEastAsia"/>
          <w:color w:val="auto"/>
          <w:sz w:val="28"/>
          <w:szCs w:val="28"/>
          <w:highlight w:val="none"/>
          <w:lang w:val="en-US" w:eastAsia="zh-CN"/>
        </w:rPr>
        <w:t>设有限公司</w:t>
      </w:r>
    </w:p>
    <w:p w14:paraId="4B18EE64">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 xml:space="preserve">地址：福建省南平市建阳区武夷新区将口组团武夷山东站站前北路1号       </w:t>
      </w:r>
    </w:p>
    <w:p w14:paraId="575DAAA9">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联系人：卢先生</w:t>
      </w:r>
    </w:p>
    <w:p w14:paraId="37B11FCF">
      <w:pPr>
        <w:keepNext w:val="0"/>
        <w:keepLines w:val="0"/>
        <w:pageBreakBefore w:val="0"/>
        <w:widowControl w:val="0"/>
        <w:kinsoku/>
        <w:wordWrap/>
        <w:overflowPunct/>
        <w:topLinePunct w:val="0"/>
        <w:autoSpaceDE/>
        <w:autoSpaceDN/>
        <w:bidi w:val="0"/>
        <w:adjustRightInd/>
        <w:snapToGrid/>
        <w:ind w:firstLine="560" w:firstLineChars="200"/>
        <w:jc w:val="left"/>
        <w:textAlignment w:val="auto"/>
        <w:rPr>
          <w:rFonts w:hint="eastAsia" w:asciiTheme="minorEastAsia" w:hAnsiTheme="minorEastAsia"/>
          <w:color w:val="auto"/>
          <w:sz w:val="28"/>
          <w:szCs w:val="28"/>
          <w:highlight w:val="none"/>
          <w:lang w:val="en-US" w:eastAsia="zh-CN"/>
        </w:rPr>
      </w:pPr>
      <w:r>
        <w:rPr>
          <w:rFonts w:hint="eastAsia" w:asciiTheme="minorEastAsia" w:hAnsiTheme="minorEastAsia"/>
          <w:color w:val="auto"/>
          <w:sz w:val="28"/>
          <w:szCs w:val="28"/>
          <w:highlight w:val="none"/>
          <w:lang w:val="en-US" w:eastAsia="zh-CN"/>
        </w:rPr>
        <w:t>电话：15880281011</w:t>
      </w:r>
    </w:p>
    <w:p w14:paraId="40C56752">
      <w:pPr>
        <w:jc w:val="right"/>
        <w:rPr>
          <w:rFonts w:hint="eastAsia" w:asciiTheme="minorEastAsia" w:hAnsiTheme="minorEastAsia"/>
          <w:color w:val="auto"/>
          <w:sz w:val="28"/>
          <w:szCs w:val="28"/>
          <w:highlight w:val="none"/>
          <w:lang w:val="en-US" w:eastAsia="zh-CN"/>
        </w:rPr>
      </w:pPr>
    </w:p>
    <w:p w14:paraId="29408CB8">
      <w:pPr>
        <w:jc w:val="right"/>
        <w:rPr>
          <w:rFonts w:asciiTheme="minorEastAsia" w:hAnsiTheme="minorEastAsia"/>
          <w:color w:val="auto"/>
          <w:sz w:val="28"/>
          <w:szCs w:val="28"/>
          <w:highlight w:val="none"/>
        </w:rPr>
      </w:pPr>
      <w:r>
        <w:rPr>
          <w:rFonts w:hint="eastAsia" w:asciiTheme="minorEastAsia" w:hAnsiTheme="minorEastAsia"/>
          <w:color w:val="auto"/>
          <w:sz w:val="28"/>
          <w:szCs w:val="28"/>
          <w:highlight w:val="none"/>
          <w:lang w:val="en-US" w:eastAsia="zh-CN"/>
        </w:rPr>
        <w:t>南平新武夷交通建设有限公司</w:t>
      </w:r>
      <w:r>
        <w:rPr>
          <w:rFonts w:asciiTheme="minorEastAsia" w:hAnsiTheme="minorEastAsia"/>
          <w:color w:val="auto"/>
          <w:sz w:val="28"/>
          <w:szCs w:val="28"/>
          <w:highlight w:val="none"/>
        </w:rPr>
        <w:br w:type="textWrapping"/>
      </w:r>
      <w:r>
        <w:rPr>
          <w:rFonts w:asciiTheme="minorEastAsia" w:hAnsiTheme="minorEastAsia"/>
          <w:color w:val="auto"/>
          <w:sz w:val="28"/>
          <w:szCs w:val="28"/>
          <w:highlight w:val="none"/>
        </w:rPr>
        <w:t>202</w:t>
      </w:r>
      <w:r>
        <w:rPr>
          <w:rFonts w:hint="eastAsia" w:asciiTheme="minorEastAsia" w:hAnsiTheme="minorEastAsia"/>
          <w:color w:val="auto"/>
          <w:sz w:val="28"/>
          <w:szCs w:val="28"/>
          <w:highlight w:val="none"/>
          <w:lang w:val="en-US" w:eastAsia="zh-CN"/>
        </w:rPr>
        <w:t>6</w:t>
      </w:r>
      <w:r>
        <w:rPr>
          <w:rFonts w:asciiTheme="minorEastAsia" w:hAnsiTheme="minorEastAsia"/>
          <w:color w:val="auto"/>
          <w:sz w:val="28"/>
          <w:szCs w:val="28"/>
          <w:highlight w:val="none"/>
        </w:rPr>
        <w:t>年</w:t>
      </w:r>
      <w:r>
        <w:rPr>
          <w:rFonts w:hint="eastAsia" w:asciiTheme="minorEastAsia" w:hAnsiTheme="minorEastAsia"/>
          <w:color w:val="auto"/>
          <w:sz w:val="28"/>
          <w:szCs w:val="28"/>
          <w:highlight w:val="none"/>
          <w:lang w:val="en-US" w:eastAsia="zh-CN"/>
        </w:rPr>
        <w:t>1</w:t>
      </w:r>
      <w:r>
        <w:rPr>
          <w:rFonts w:asciiTheme="minorEastAsia" w:hAnsiTheme="minorEastAsia"/>
          <w:color w:val="auto"/>
          <w:sz w:val="28"/>
          <w:szCs w:val="28"/>
          <w:highlight w:val="none"/>
        </w:rPr>
        <w:t>月</w:t>
      </w:r>
      <w:r>
        <w:rPr>
          <w:rFonts w:hint="eastAsia" w:asciiTheme="minorEastAsia" w:hAnsiTheme="minorEastAsia"/>
          <w:color w:val="auto"/>
          <w:sz w:val="28"/>
          <w:szCs w:val="28"/>
          <w:highlight w:val="none"/>
          <w:lang w:val="en-US" w:eastAsia="zh-CN"/>
        </w:rPr>
        <w:t>6</w:t>
      </w:r>
      <w:r>
        <w:rPr>
          <w:rFonts w:asciiTheme="minorEastAsia" w:hAnsiTheme="minorEastAsia"/>
          <w:color w:val="auto"/>
          <w:sz w:val="28"/>
          <w:szCs w:val="28"/>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3ZDliNjA4NjQ5NzdkZDdkMDI0NzMzZjlkY2E1YTEifQ=="/>
  </w:docVars>
  <w:rsids>
    <w:rsidRoot w:val="006D5AB3"/>
    <w:rsid w:val="000E14A0"/>
    <w:rsid w:val="0027039E"/>
    <w:rsid w:val="005D470A"/>
    <w:rsid w:val="006D5AB3"/>
    <w:rsid w:val="00842EF4"/>
    <w:rsid w:val="06A9436A"/>
    <w:rsid w:val="167F45C1"/>
    <w:rsid w:val="1D0F2492"/>
    <w:rsid w:val="26452DB4"/>
    <w:rsid w:val="26676D69"/>
    <w:rsid w:val="2A417E51"/>
    <w:rsid w:val="2D561330"/>
    <w:rsid w:val="376F1231"/>
    <w:rsid w:val="44CE3003"/>
    <w:rsid w:val="47FB42B7"/>
    <w:rsid w:val="52205EB8"/>
    <w:rsid w:val="561A4CC4"/>
    <w:rsid w:val="59303485"/>
    <w:rsid w:val="5A0A22DB"/>
    <w:rsid w:val="5ACA37D1"/>
    <w:rsid w:val="613F198B"/>
    <w:rsid w:val="638048A6"/>
    <w:rsid w:val="67DB401C"/>
    <w:rsid w:val="6DBA56FD"/>
    <w:rsid w:val="70F35DB9"/>
    <w:rsid w:val="712257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rPr>
      <w:rFonts w:ascii="Times New Roman" w:hAnsi="Times New Roman" w:cs="Times New Roman"/>
      <w:szCs w:val="21"/>
    </w:rPr>
  </w:style>
  <w:style w:type="paragraph" w:styleId="3">
    <w:name w:val="header"/>
    <w:basedOn w:val="1"/>
    <w:next w:val="2"/>
    <w:qFormat/>
    <w:uiPriority w:val="0"/>
    <w:pPr>
      <w:pBdr>
        <w:bottom w:val="single" w:color="auto" w:sz="6" w:space="1"/>
      </w:pBdr>
      <w:tabs>
        <w:tab w:val="center" w:pos="4153"/>
        <w:tab w:val="right" w:pos="8306"/>
      </w:tabs>
      <w:snapToGrid w:val="0"/>
      <w:jc w:val="center"/>
    </w:pPr>
    <w:rPr>
      <w:sz w:val="18"/>
      <w:szCs w:val="18"/>
    </w:rPr>
  </w:style>
  <w:style w:type="paragraph" w:styleId="4">
    <w:name w:val="Body Text"/>
    <w:basedOn w:val="1"/>
    <w:next w:val="1"/>
    <w:qFormat/>
    <w:uiPriority w:val="0"/>
    <w:pPr>
      <w:spacing w:after="120"/>
    </w:pPr>
  </w:style>
  <w:style w:type="paragraph" w:customStyle="1" w:styleId="7">
    <w:name w:val="Fließtext"/>
    <w:basedOn w:val="1"/>
    <w:qFormat/>
    <w:uiPriority w:val="0"/>
    <w:pPr>
      <w:overflowPunct w:val="0"/>
      <w:autoSpaceDE w:val="0"/>
      <w:autoSpaceDN w:val="0"/>
      <w:adjustRightInd w:val="0"/>
      <w:textAlignment w:val="baseline"/>
    </w:pPr>
    <w:rPr>
      <w:rFonts w:ascii="Calibri" w:hAnsi="Calibri" w:eastAsia="宋体" w:cs="Times New Roman"/>
      <w:kern w:val="28"/>
    </w:rPr>
  </w:style>
  <w:style w:type="paragraph" w:customStyle="1" w:styleId="8">
    <w:name w:val="Table Text"/>
    <w:basedOn w:val="1"/>
    <w:semiHidden/>
    <w:qFormat/>
    <w:uiPriority w:val="0"/>
    <w:rPr>
      <w:rFonts w:ascii="宋体" w:hAnsi="宋体" w:eastAsia="宋体" w:cs="宋体"/>
      <w:sz w:val="23"/>
      <w:szCs w:val="23"/>
      <w:lang w:val="en-US" w:eastAsia="en-US" w:bidi="ar-SA"/>
    </w:rPr>
  </w:style>
  <w:style w:type="table" w:customStyle="1" w:styleId="9">
    <w:name w:val="Table Normal"/>
    <w:semiHidden/>
    <w:unhideWhenUsed/>
    <w:qFormat/>
    <w:uiPriority w:val="0"/>
    <w:tblPr>
      <w:tblCellMar>
        <w:top w:w="0" w:type="dxa"/>
        <w:left w:w="0" w:type="dxa"/>
        <w:bottom w:w="0" w:type="dxa"/>
        <w:right w:w="0" w:type="dxa"/>
      </w:tblCellMar>
    </w:tblPr>
  </w:style>
  <w:style w:type="character" w:customStyle="1" w:styleId="10">
    <w:name w:val="15"/>
    <w:basedOn w:val="6"/>
    <w:qFormat/>
    <w:uiPriority w:val="0"/>
    <w:rPr>
      <w:rFonts w:hint="eastAsia" w:ascii="宋体" w:hAnsi="宋体" w:eastAsia="宋体" w:cs="宋体"/>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872</Words>
  <Characters>982</Characters>
  <Lines>6</Lines>
  <Paragraphs>1</Paragraphs>
  <TotalTime>0</TotalTime>
  <ScaleCrop>false</ScaleCrop>
  <LinksUpToDate>false</LinksUpToDate>
  <CharactersWithSpaces>984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2023-09-22T00:22:00Z</dcterms:created>
  <dc:creator>Administrator</dc:creator>
  <cp:lastModifiedBy>卖石料的小卢</cp:lastModifiedBy>
  <cp:lastPrinted>2025-10-16T07:25:00Z</cp:lastPrinted>
  <dcterms:modified xsi:type="dcterms:W3CDTF">2026-01-06T01:20:31Z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34CA386D491A4DD6917990396B72172B_13</vt:lpwstr>
  </property>
  <property fmtid="{D5CDD505-2E9C-101B-9397-08002B2CF9AE}" pid="4" name="KSOTemplateDocerSaveRecord">
    <vt:lpwstr>eyJoZGlkIjoiNjYzZDA5YTJmYjNlM2VjZGYxMmJkYTAxYzk4ODRlYjAiLCJ1c2VySWQiOiI5NDQ1NTMxMTUifQ==</vt:lpwstr>
  </property>
</Properties>
</file>