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40AAB">
      <w:pPr>
        <w:pStyle w:val="3"/>
        <w:rPr>
          <w:rFonts w:ascii="仿宋" w:hAnsi="仿宋" w:eastAsia="仿宋" w:cs="方正小标宋简体"/>
          <w:color w:val="000000" w:themeColor="text1"/>
          <w:sz w:val="32"/>
          <w:szCs w:val="32"/>
          <w14:textFill>
            <w14:solidFill>
              <w14:schemeClr w14:val="tx1"/>
            </w14:solidFill>
          </w14:textFill>
        </w:rPr>
      </w:pPr>
      <w:bookmarkStart w:id="0" w:name="_Toc486924194"/>
      <w:r>
        <w:rPr>
          <w:rFonts w:hint="eastAsia" w:ascii="仿宋" w:hAnsi="仿宋" w:eastAsia="仿宋" w:cs="方正小标宋简体"/>
          <w:color w:val="000000" w:themeColor="text1"/>
          <w:sz w:val="32"/>
          <w:szCs w:val="32"/>
          <w14:textFill>
            <w14:solidFill>
              <w14:schemeClr w14:val="tx1"/>
            </w14:solidFill>
          </w14:textFill>
        </w:rPr>
        <w:t>第一章</w:t>
      </w:r>
      <w:bookmarkEnd w:id="0"/>
      <w:r>
        <w:rPr>
          <w:rFonts w:hint="eastAsia" w:ascii="仿宋" w:hAnsi="仿宋" w:eastAsia="仿宋" w:cs="方正小标宋简体"/>
          <w:color w:val="000000" w:themeColor="text1"/>
          <w:sz w:val="32"/>
          <w:szCs w:val="32"/>
          <w14:textFill>
            <w14:solidFill>
              <w14:schemeClr w14:val="tx1"/>
            </w14:solidFill>
          </w14:textFill>
        </w:rPr>
        <w:t>公告</w:t>
      </w:r>
    </w:p>
    <w:p w14:paraId="7287EE71">
      <w:pPr>
        <w:jc w:val="center"/>
        <w:rPr>
          <w:rFonts w:ascii="仿宋" w:hAnsi="仿宋" w:eastAsia="仿宋"/>
          <w:b/>
          <w:bCs/>
          <w:color w:val="000000" w:themeColor="text1"/>
          <w:sz w:val="32"/>
          <w:szCs w:val="32"/>
          <w14:textFill>
            <w14:solidFill>
              <w14:schemeClr w14:val="tx1"/>
            </w14:solidFill>
          </w14:textFill>
        </w:rPr>
      </w:pPr>
      <w:bookmarkStart w:id="1" w:name="_Toc243796160"/>
      <w:bookmarkStart w:id="2" w:name="_Toc344732466"/>
      <w:bookmarkStart w:id="3" w:name="_Toc243402045"/>
      <w:bookmarkStart w:id="4" w:name="_Toc245379316"/>
      <w:bookmarkStart w:id="5" w:name="_Toc222740105"/>
      <w:bookmarkStart w:id="6" w:name="_Toc234382570"/>
      <w:bookmarkStart w:id="7" w:name="_Toc204055778"/>
      <w:r>
        <w:rPr>
          <w:rFonts w:hint="eastAsia" w:ascii="仿宋" w:hAnsi="仿宋" w:eastAsia="仿宋"/>
          <w:color w:val="000000" w:themeColor="text1"/>
          <w:sz w:val="32"/>
          <w:szCs w:val="32"/>
          <w:u w:val="none"/>
          <w:lang w:val="en-US" w:eastAsia="zh-CN"/>
          <w14:textFill>
            <w14:solidFill>
              <w14:schemeClr w14:val="tx1"/>
            </w14:solidFill>
          </w14:textFill>
        </w:rPr>
        <w:t xml:space="preserve"> </w:t>
      </w:r>
      <w:bookmarkStart w:id="9" w:name="_GoBack"/>
      <w:r>
        <w:rPr>
          <w:rFonts w:hint="eastAsia" w:ascii="仿宋" w:hAnsi="仿宋" w:eastAsia="仿宋"/>
          <w:b/>
          <w:bCs/>
          <w:color w:val="000000" w:themeColor="text1"/>
          <w:sz w:val="32"/>
          <w:szCs w:val="32"/>
          <w:u w:val="none"/>
          <w:lang w:val="en-US" w:eastAsia="zh-CN"/>
          <w14:textFill>
            <w14:solidFill>
              <w14:schemeClr w14:val="tx1"/>
            </w14:solidFill>
          </w14:textFill>
        </w:rPr>
        <w:t>2026-2028年</w:t>
      </w:r>
      <w:r>
        <w:rPr>
          <w:rFonts w:hint="eastAsia" w:ascii="仿宋" w:hAnsi="仿宋" w:eastAsia="仿宋"/>
          <w:b/>
          <w:bCs/>
          <w:color w:val="000000" w:themeColor="text1"/>
          <w:sz w:val="32"/>
          <w:szCs w:val="32"/>
          <w:lang w:val="en-US" w:eastAsia="zh-CN"/>
          <w14:textFill>
            <w14:solidFill>
              <w14:schemeClr w14:val="tx1"/>
            </w14:solidFill>
          </w14:textFill>
        </w:rPr>
        <w:t>沙南高速日常普修及</w:t>
      </w:r>
      <w:r>
        <w:rPr>
          <w:rFonts w:hint="eastAsia" w:ascii="仿宋" w:hAnsi="仿宋" w:eastAsia="仿宋" w:cs="Times New Roman"/>
          <w:b/>
          <w:bCs/>
          <w:color w:val="000000" w:themeColor="text1"/>
          <w:sz w:val="32"/>
          <w:szCs w:val="32"/>
          <w:u w:val="none"/>
          <w:lang w:eastAsia="zh-CN"/>
          <w14:textFill>
            <w14:solidFill>
              <w14:schemeClr w14:val="tx1"/>
            </w14:solidFill>
          </w14:textFill>
        </w:rPr>
        <w:t>绿化</w:t>
      </w:r>
      <w:r>
        <w:rPr>
          <w:rFonts w:hint="eastAsia" w:ascii="仿宋" w:hAnsi="仿宋" w:eastAsia="仿宋" w:cs="Times New Roman"/>
          <w:b/>
          <w:bCs/>
          <w:color w:val="000000" w:themeColor="text1"/>
          <w:sz w:val="32"/>
          <w:szCs w:val="32"/>
          <w:u w:val="none"/>
          <w14:textFill>
            <w14:solidFill>
              <w14:schemeClr w14:val="tx1"/>
            </w14:solidFill>
          </w14:textFill>
        </w:rPr>
        <w:t>养护工程班</w:t>
      </w:r>
      <w:r>
        <w:rPr>
          <w:rFonts w:hint="eastAsia" w:ascii="仿宋" w:hAnsi="仿宋" w:eastAsia="仿宋"/>
          <w:b/>
          <w:bCs/>
          <w:color w:val="000000" w:themeColor="text1"/>
          <w:sz w:val="32"/>
          <w:szCs w:val="32"/>
          <w14:textFill>
            <w14:solidFill>
              <w14:schemeClr w14:val="tx1"/>
            </w14:solidFill>
          </w14:textFill>
        </w:rPr>
        <w:t>组选择公告</w:t>
      </w:r>
      <w:bookmarkEnd w:id="9"/>
    </w:p>
    <w:p w14:paraId="09DEAF33">
      <w:pPr>
        <w:spacing w:line="360" w:lineRule="auto"/>
        <w:ind w:firstLine="640" w:firstLineChars="200"/>
        <w:jc w:val="left"/>
        <w:rPr>
          <w:rFonts w:ascii="仿宋" w:hAnsi="仿宋" w:eastAsia="仿宋"/>
          <w:color w:val="000000" w:themeColor="text1"/>
          <w:spacing w:val="-4"/>
          <w:sz w:val="32"/>
          <w:szCs w:val="32"/>
          <w14:textFill>
            <w14:solidFill>
              <w14:schemeClr w14:val="tx1"/>
            </w14:solidFill>
          </w14:textFill>
        </w:rPr>
      </w:pPr>
      <w:r>
        <w:rPr>
          <w:rFonts w:hint="eastAsia" w:ascii="仿宋_GB2312" w:hAnsi="仿宋" w:eastAsia="仿宋_GB2312" w:cs="Times New Roman"/>
          <w:snapToGrid/>
          <w:kern w:val="2"/>
          <w:sz w:val="32"/>
          <w:szCs w:val="32"/>
          <w:highlight w:val="none"/>
          <w:u w:val="single"/>
          <w:lang w:val="en-US" w:eastAsia="zh-CN"/>
        </w:rPr>
        <w:t>沙南高速日常普修及</w:t>
      </w:r>
      <w:r>
        <w:rPr>
          <w:rFonts w:hint="eastAsia" w:ascii="仿宋_GB2312" w:hAnsi="仿宋" w:eastAsia="仿宋_GB2312" w:cs="Times New Roman"/>
          <w:snapToGrid/>
          <w:kern w:val="2"/>
          <w:sz w:val="32"/>
          <w:szCs w:val="32"/>
          <w:highlight w:val="none"/>
          <w:u w:val="single"/>
          <w:lang w:eastAsia="zh-CN"/>
        </w:rPr>
        <w:t>绿化养护工程</w:t>
      </w:r>
      <w:r>
        <w:rPr>
          <w:rFonts w:hint="eastAsia" w:ascii="仿宋_GB2312" w:hAnsi="仿宋" w:eastAsia="仿宋_GB2312" w:cs="Times New Roman"/>
          <w:snapToGrid/>
          <w:kern w:val="2"/>
          <w:sz w:val="32"/>
          <w:szCs w:val="32"/>
          <w:highlight w:val="none"/>
          <w:lang w:eastAsia="zh-CN"/>
        </w:rPr>
        <w:t>由南平武夷</w:t>
      </w:r>
      <w:r>
        <w:rPr>
          <w:rFonts w:hint="eastAsia" w:ascii="仿宋_GB2312" w:hAnsi="仿宋" w:eastAsia="仿宋_GB2312" w:cs="Times New Roman"/>
          <w:snapToGrid/>
          <w:kern w:val="2"/>
          <w:sz w:val="32"/>
          <w:szCs w:val="32"/>
          <w:highlight w:val="none"/>
          <w:lang w:val="en-US" w:eastAsia="zh-CN"/>
        </w:rPr>
        <w:t>发展</w:t>
      </w:r>
      <w:r>
        <w:rPr>
          <w:rFonts w:hint="eastAsia" w:ascii="仿宋_GB2312" w:hAnsi="仿宋" w:eastAsia="仿宋_GB2312" w:cs="Times New Roman"/>
          <w:snapToGrid/>
          <w:kern w:val="2"/>
          <w:sz w:val="32"/>
          <w:szCs w:val="32"/>
          <w:highlight w:val="none"/>
          <w:lang w:eastAsia="zh-CN"/>
        </w:rPr>
        <w:t>集团所属子公司南平市高建养护工程有限公司承</w:t>
      </w:r>
      <w:r>
        <w:rPr>
          <w:rFonts w:hint="eastAsia" w:ascii="仿宋_GB2312" w:hAnsi="仿宋" w:eastAsia="仿宋_GB2312" w:cs="Times New Roman"/>
          <w:snapToGrid/>
          <w:kern w:val="2"/>
          <w:sz w:val="32"/>
          <w:szCs w:val="32"/>
          <w:highlight w:val="none"/>
          <w:lang w:val="en-US" w:eastAsia="zh-CN"/>
        </w:rPr>
        <w:t>养</w:t>
      </w:r>
      <w:r>
        <w:rPr>
          <w:rFonts w:hint="eastAsia" w:ascii="仿宋_GB2312" w:hAnsi="仿宋" w:eastAsia="仿宋_GB2312" w:cs="Times New Roman"/>
          <w:snapToGrid/>
          <w:kern w:val="2"/>
          <w:sz w:val="32"/>
          <w:szCs w:val="32"/>
          <w:highlight w:val="none"/>
          <w:lang w:eastAsia="zh-CN"/>
        </w:rPr>
        <w:t>。现根据</w:t>
      </w:r>
      <w:r>
        <w:rPr>
          <w:rFonts w:hint="eastAsia" w:ascii="仿宋_GB2312" w:hAnsi="仿宋" w:eastAsia="仿宋_GB2312" w:cs="Times New Roman"/>
          <w:snapToGrid/>
          <w:kern w:val="2"/>
          <w:sz w:val="32"/>
          <w:szCs w:val="32"/>
          <w:highlight w:val="none"/>
          <w:lang w:val="en-US" w:eastAsia="zh-CN"/>
        </w:rPr>
        <w:t>南武发工【2025】26号</w:t>
      </w:r>
      <w:r>
        <w:rPr>
          <w:rFonts w:hint="eastAsia" w:ascii="仿宋_GB2312" w:hAnsi="仿宋" w:eastAsia="仿宋_GB2312" w:cs="Times New Roman"/>
          <w:snapToGrid/>
          <w:kern w:val="2"/>
          <w:sz w:val="32"/>
          <w:szCs w:val="32"/>
          <w:highlight w:val="none"/>
          <w:lang w:eastAsia="zh-CN"/>
        </w:rPr>
        <w:t>《工程</w:t>
      </w:r>
      <w:r>
        <w:rPr>
          <w:rFonts w:hint="eastAsia" w:ascii="仿宋_GB2312" w:hAnsi="仿宋" w:eastAsia="仿宋_GB2312" w:cs="Times New Roman"/>
          <w:snapToGrid/>
          <w:kern w:val="2"/>
          <w:sz w:val="32"/>
          <w:szCs w:val="32"/>
          <w:highlight w:val="none"/>
          <w:lang w:val="en-US" w:eastAsia="zh-CN"/>
        </w:rPr>
        <w:t>施工</w:t>
      </w:r>
      <w:r>
        <w:rPr>
          <w:rFonts w:hint="eastAsia" w:ascii="仿宋_GB2312" w:hAnsi="仿宋" w:eastAsia="仿宋_GB2312" w:cs="Times New Roman"/>
          <w:snapToGrid/>
          <w:kern w:val="2"/>
          <w:sz w:val="32"/>
          <w:szCs w:val="32"/>
          <w:highlight w:val="none"/>
          <w:lang w:eastAsia="zh-CN"/>
        </w:rPr>
        <w:t>劳务班组选择管理办法（</w:t>
      </w:r>
      <w:r>
        <w:rPr>
          <w:rFonts w:hint="eastAsia" w:ascii="仿宋_GB2312" w:hAnsi="仿宋" w:eastAsia="仿宋_GB2312" w:cs="Times New Roman"/>
          <w:snapToGrid/>
          <w:kern w:val="2"/>
          <w:sz w:val="32"/>
          <w:szCs w:val="32"/>
          <w:highlight w:val="none"/>
          <w:lang w:val="en-US" w:eastAsia="zh-CN"/>
        </w:rPr>
        <w:t>2025修订稿</w:t>
      </w:r>
      <w:r>
        <w:rPr>
          <w:rFonts w:hint="eastAsia" w:ascii="仿宋_GB2312" w:hAnsi="仿宋" w:eastAsia="仿宋_GB2312" w:cs="Times New Roman"/>
          <w:snapToGrid/>
          <w:kern w:val="2"/>
          <w:sz w:val="32"/>
          <w:szCs w:val="32"/>
          <w:highlight w:val="none"/>
          <w:lang w:eastAsia="zh-CN"/>
        </w:rPr>
        <w:t>）》，制定如下选择方案</w:t>
      </w:r>
      <w:r>
        <w:rPr>
          <w:rFonts w:hint="eastAsia" w:ascii="仿宋_GB2312" w:hAnsi="仿宋_GB2312" w:eastAsia="仿宋_GB2312" w:cs="仿宋_GB2312"/>
          <w:color w:val="000000" w:themeColor="text1"/>
          <w:spacing w:val="-4"/>
          <w:sz w:val="32"/>
          <w:szCs w:val="32"/>
          <w14:textFill>
            <w14:solidFill>
              <w14:schemeClr w14:val="tx1"/>
            </w14:solidFill>
          </w14:textFill>
        </w:rPr>
        <w:t>。</w:t>
      </w:r>
    </w:p>
    <w:p w14:paraId="5C8BB03C">
      <w:pPr>
        <w:spacing w:line="580" w:lineRule="exact"/>
        <w:ind w:firstLine="640" w:firstLineChars="200"/>
        <w:rPr>
          <w:rFonts w:ascii="仿宋" w:hAnsi="仿宋" w:eastAsia="仿宋"/>
          <w:color w:val="000000" w:themeColor="text1"/>
          <w:sz w:val="32"/>
          <w:szCs w:val="32"/>
          <w14:textFill>
            <w14:solidFill>
              <w14:schemeClr w14:val="tx1"/>
            </w14:solidFill>
          </w14:textFill>
        </w:rPr>
      </w:pPr>
      <w:bookmarkStart w:id="8" w:name="_Toc234382576"/>
      <w:r>
        <w:rPr>
          <w:rFonts w:hint="eastAsia" w:ascii="黑体" w:hAnsi="黑体" w:eastAsia="黑体" w:cs="黑体"/>
          <w:color w:val="000000" w:themeColor="text1"/>
          <w:sz w:val="32"/>
          <w:szCs w:val="32"/>
          <w14:textFill>
            <w14:solidFill>
              <w14:schemeClr w14:val="tx1"/>
            </w14:solidFill>
          </w14:textFill>
        </w:rPr>
        <w:t>一、项目概况</w:t>
      </w:r>
    </w:p>
    <w:p w14:paraId="27789CDD">
      <w:pPr>
        <w:spacing w:line="580" w:lineRule="exact"/>
        <w:ind w:firstLine="640" w:firstLineChars="200"/>
        <w:rPr>
          <w:rFonts w:hint="eastAsia" w:ascii="仿宋" w:hAnsi="仿宋" w:eastAsia="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（一）工程名称</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标段号</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6015D0EC">
      <w:pPr>
        <w:spacing w:line="58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沙南高速（</w:t>
      </w:r>
      <w:r>
        <w:rPr>
          <w:rFonts w:hint="eastAsia" w:ascii="仿宋" w:hAnsi="仿宋" w:eastAsia="仿宋" w:cs="Times New Roman"/>
          <w:snapToGrid/>
          <w:color w:val="000000" w:themeColor="text1"/>
          <w:kern w:val="2"/>
          <w:sz w:val="32"/>
          <w:szCs w:val="32"/>
          <w:highlight w:val="none"/>
          <w:u w:val="single"/>
          <w:lang w:eastAsia="zh-CN"/>
          <w14:textFill>
            <w14:solidFill>
              <w14:schemeClr w14:val="tx1"/>
            </w14:solidFill>
          </w14:textFill>
        </w:rPr>
        <w:t>K7+700-K30+380、K39+000-K54+899.909</w:t>
      </w:r>
      <w:r>
        <w:rPr>
          <w:rFonts w:hint="eastAsia" w:ascii="仿宋" w:hAnsi="仿宋" w:eastAsia="仿宋" w:cs="Times New Roman"/>
          <w:snapToGrid/>
          <w:color w:val="000000" w:themeColor="text1"/>
          <w:kern w:val="2"/>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日常普修及绿化养护工程。</w:t>
      </w:r>
    </w:p>
    <w:p w14:paraId="19BC2D3C">
      <w:pPr>
        <w:spacing w:line="580" w:lineRule="exact"/>
        <w:ind w:firstLine="640" w:firstLineChars="200"/>
        <w:rPr>
          <w:rFonts w:hint="eastAsia" w:ascii="宋体" w:hAnsi="宋体" w:cs="宋体"/>
          <w:b/>
          <w:color w:val="auto"/>
          <w:sz w:val="28"/>
          <w:szCs w:val="28"/>
          <w:highlight w:val="none"/>
        </w:rPr>
      </w:pPr>
      <w:r>
        <w:rPr>
          <w:rFonts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沙南高</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速（</w:t>
      </w:r>
      <w:r>
        <w:rPr>
          <w:rFonts w:hint="eastAsia" w:ascii="仿宋" w:hAnsi="仿宋" w:eastAsia="仿宋" w:cs="Times New Roman"/>
          <w:snapToGrid/>
          <w:color w:val="000000" w:themeColor="text1"/>
          <w:kern w:val="2"/>
          <w:sz w:val="32"/>
          <w:szCs w:val="32"/>
          <w:highlight w:val="none"/>
          <w:u w:val="single"/>
          <w:lang w:eastAsia="zh-CN"/>
          <w14:textFill>
            <w14:solidFill>
              <w14:schemeClr w14:val="tx1"/>
            </w14:solidFill>
          </w14:textFill>
        </w:rPr>
        <w:t>K54+899.909-K100+638.144</w:t>
      </w:r>
      <w:r>
        <w:rPr>
          <w:rFonts w:hint="eastAsia" w:ascii="仿宋" w:hAnsi="仿宋" w:eastAsia="仿宋" w:cs="Times New Roman"/>
          <w:snapToGrid/>
          <w:color w:val="000000" w:themeColor="text1"/>
          <w:kern w:val="2"/>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日常普</w:t>
      </w:r>
      <w:r>
        <w:rPr>
          <w:rFonts w:hint="eastAsia" w:ascii="仿宋_GB2312" w:hAnsi="仿宋_GB2312" w:eastAsia="仿宋_GB2312" w:cs="仿宋_GB2312"/>
          <w:bCs/>
          <w:color w:val="000000" w:themeColor="text1"/>
          <w:sz w:val="32"/>
          <w:szCs w:val="32"/>
          <w14:textFill>
            <w14:solidFill>
              <w14:schemeClr w14:val="tx1"/>
            </w14:solidFill>
          </w14:textFill>
        </w:rPr>
        <w:t>修及绿化养护工程。</w:t>
      </w:r>
    </w:p>
    <w:p w14:paraId="74C48284">
      <w:pPr>
        <w:spacing w:line="264" w:lineRule="auto"/>
        <w:ind w:firstLine="562" w:firstLineChars="200"/>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pPr>
      <w:r>
        <w:rPr>
          <w:rFonts w:hint="eastAsia" w:ascii="宋体" w:hAnsi="宋体" w:cs="宋体"/>
          <w:b/>
          <w:color w:val="auto"/>
          <w:sz w:val="28"/>
          <w:szCs w:val="28"/>
          <w:highlight w:val="none"/>
        </w:rPr>
        <w:t>风险提醒：因</w:t>
      </w:r>
      <w:r>
        <w:rPr>
          <w:rFonts w:hint="eastAsia" w:ascii="宋体" w:hAnsi="宋体" w:cs="宋体"/>
          <w:b/>
          <w:color w:val="auto"/>
          <w:sz w:val="28"/>
          <w:szCs w:val="28"/>
          <w:highlight w:val="none"/>
          <w:lang w:val="en-US" w:eastAsia="zh-CN"/>
        </w:rPr>
        <w:t>养护路段</w:t>
      </w:r>
      <w:r>
        <w:rPr>
          <w:rFonts w:hint="eastAsia" w:ascii="宋体" w:hAnsi="宋体" w:cs="宋体"/>
          <w:b/>
          <w:color w:val="auto"/>
          <w:sz w:val="28"/>
          <w:szCs w:val="28"/>
          <w:highlight w:val="none"/>
        </w:rPr>
        <w:t>可能存在政策性调整，各个标段工程规模可能存在变动，请谨慎</w:t>
      </w:r>
      <w:r>
        <w:rPr>
          <w:rFonts w:hint="eastAsia" w:ascii="宋体" w:hAnsi="宋体" w:cs="宋体"/>
          <w:b/>
          <w:color w:val="auto"/>
          <w:sz w:val="28"/>
          <w:szCs w:val="28"/>
          <w:highlight w:val="none"/>
          <w:lang w:val="en-US" w:eastAsia="zh-CN"/>
        </w:rPr>
        <w:t>参选</w:t>
      </w:r>
      <w:r>
        <w:rPr>
          <w:rFonts w:hint="eastAsia" w:ascii="宋体" w:hAnsi="宋体" w:cs="宋体"/>
          <w:b/>
          <w:color w:val="auto"/>
          <w:sz w:val="28"/>
          <w:szCs w:val="28"/>
          <w:highlight w:val="none"/>
        </w:rPr>
        <w:t>。</w:t>
      </w:r>
    </w:p>
    <w:p w14:paraId="067E393E">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（二）施工内容</w:t>
      </w:r>
    </w:p>
    <w:p w14:paraId="197F9AC3">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、日常普修：</w:t>
      </w:r>
    </w:p>
    <w:p w14:paraId="572957F6">
      <w:pPr>
        <w:spacing w:line="5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Times New Roman"/>
          <w:snapToGrid/>
          <w:kern w:val="2"/>
          <w:sz w:val="32"/>
          <w:szCs w:val="32"/>
          <w:highlight w:val="none"/>
          <w:lang w:eastAsia="zh-CN"/>
        </w:rPr>
        <w:t>(1)路基边坡人工保洁；(2)涵洞清理；(3)截水沟、排水沟、边沟、上下边坡各级平台清理；(4)隧道缝隙式水沟清理；(5)桥梁墩台下部垃圾清理；(6)上、下边坡修剪；(7)避险车道清理等</w:t>
      </w:r>
      <w:r>
        <w:rPr>
          <w:rFonts w:hint="eastAsia" w:ascii="仿宋_GB2312" w:hAnsi="仿宋_GB2312" w:eastAsia="仿宋_GB2312" w:cs="仿宋_GB2312"/>
          <w:color w:val="000000" w:themeColor="text1"/>
          <w:sz w:val="32"/>
          <w:szCs w:val="32"/>
          <w14:textFill>
            <w14:solidFill>
              <w14:schemeClr w14:val="tx1"/>
            </w14:solidFill>
          </w14:textFill>
        </w:rPr>
        <w:t>。</w:t>
      </w:r>
    </w:p>
    <w:p w14:paraId="3992FA44">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、小水毁、小专项工程：</w:t>
      </w:r>
    </w:p>
    <w:p w14:paraId="3CC36725">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小水毁工程指在日常养护管理中发现的属于日常养护合同范围内的水毁缺陷修复包括沿线土石方的清除以及路基及构造物零星修复。小专项工程主要是指日常养护合同范围外的小于</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万元的专项工程。上述工程由甲方下达任务通知书后进行修复。</w:t>
      </w:r>
    </w:p>
    <w:p w14:paraId="3E43B279">
      <w:pPr>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、绿化养护工作内容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8D755B6">
      <w:pPr>
        <w:pStyle w:val="5"/>
        <w:keepNext w:val="0"/>
        <w:keepLines w:val="0"/>
        <w:pageBreakBefore w:val="0"/>
        <w:widowControl w:val="0"/>
        <w:kinsoku/>
        <w:wordWrap/>
        <w:overflowPunct/>
        <w:topLinePunct w:val="0"/>
        <w:autoSpaceDE/>
        <w:autoSpaceDN/>
        <w:bidi w:val="0"/>
        <w:adjustRightInd/>
        <w:snapToGrid/>
        <w:spacing w:before="0" w:after="0" w:line="580" w:lineRule="exact"/>
        <w:ind w:left="0" w:leftChars="0" w:firstLine="640" w:firstLineChars="200"/>
        <w:textAlignment w:val="auto"/>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u w:val="none"/>
          <w:lang w:val="en-US" w:eastAsia="zh-CN"/>
          <w14:textFill>
            <w14:solidFill>
              <w14:schemeClr w14:val="tx1"/>
            </w14:solidFill>
          </w14:textFill>
        </w:rPr>
        <w:t>中央分隔带(砼、钢护栏)内、隧道口、互通区、碎落台、上下边坡、服务区和站所等绿地范围内的乔、灌木、花草、草皮 的管养，浇水、施肥、修剪、除草、松土整穴、病虫害防治、上下边坡割草等。各项作业要求详见工程量清单。</w:t>
      </w:r>
    </w:p>
    <w:p w14:paraId="3C3D9645">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（三）项目施工范围</w:t>
      </w:r>
    </w:p>
    <w:p w14:paraId="0CFF1096">
      <w:pPr>
        <w:spacing w:line="580" w:lineRule="exact"/>
        <w:ind w:left="638" w:leftChars="304" w:firstLine="0" w:firstLineChars="0"/>
        <w:rPr>
          <w:rFonts w:hint="eastAsia" w:ascii="仿宋" w:hAnsi="仿宋" w:eastAsia="仿宋" w:cs="Times New Roman"/>
          <w:snapToGrid/>
          <w:color w:val="000000" w:themeColor="text1"/>
          <w:kern w:val="2"/>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1、沙南高速（</w:t>
      </w:r>
      <w:r>
        <w:rPr>
          <w:rFonts w:hint="eastAsia" w:ascii="仿宋" w:hAnsi="仿宋" w:eastAsia="仿宋" w:cs="Times New Roman"/>
          <w:snapToGrid/>
          <w:color w:val="000000" w:themeColor="text1"/>
          <w:kern w:val="2"/>
          <w:sz w:val="32"/>
          <w:szCs w:val="32"/>
          <w:highlight w:val="none"/>
          <w:u w:val="single"/>
          <w:lang w:eastAsia="zh-CN"/>
          <w14:textFill>
            <w14:solidFill>
              <w14:schemeClr w14:val="tx1"/>
            </w14:solidFill>
          </w14:textFill>
        </w:rPr>
        <w:t>K7+700-K30+380、K39+000-K54+899.909</w:t>
      </w:r>
      <w:r>
        <w:rPr>
          <w:rFonts w:hint="eastAsia" w:ascii="仿宋" w:hAnsi="仿宋" w:eastAsia="仿宋" w:cs="Times New Roman"/>
          <w:snapToGrid/>
          <w:color w:val="000000" w:themeColor="text1"/>
          <w:kern w:val="2"/>
          <w:sz w:val="32"/>
          <w:szCs w:val="32"/>
          <w:highlight w:val="none"/>
          <w:u w:val="none"/>
          <w:lang w:val="en-US" w:eastAsia="zh-CN"/>
          <w14:textFill>
            <w14:solidFill>
              <w14:schemeClr w14:val="tx1"/>
            </w14:solidFill>
          </w14:textFill>
        </w:rPr>
        <w:t>）</w:t>
      </w:r>
    </w:p>
    <w:p w14:paraId="0446E969">
      <w:pPr>
        <w:spacing w:line="580" w:lineRule="exact"/>
        <w:ind w:left="638" w:leftChars="304" w:firstLine="0" w:firstLineChars="0"/>
        <w:rPr>
          <w:rFonts w:ascii="仿宋"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2、沙南高速（</w:t>
      </w:r>
      <w:r>
        <w:rPr>
          <w:rFonts w:hint="eastAsia" w:ascii="仿宋" w:hAnsi="仿宋" w:eastAsia="仿宋" w:cs="Times New Roman"/>
          <w:snapToGrid/>
          <w:color w:val="000000" w:themeColor="text1"/>
          <w:kern w:val="2"/>
          <w:sz w:val="32"/>
          <w:szCs w:val="32"/>
          <w:highlight w:val="none"/>
          <w:u w:val="single"/>
          <w:lang w:eastAsia="zh-CN"/>
          <w14:textFill>
            <w14:solidFill>
              <w14:schemeClr w14:val="tx1"/>
            </w14:solidFill>
          </w14:textFill>
        </w:rPr>
        <w:t>K54+899.909-K100+638.144</w:t>
      </w:r>
      <w:r>
        <w:rPr>
          <w:rFonts w:hint="eastAsia" w:ascii="仿宋" w:hAnsi="仿宋" w:eastAsia="仿宋" w:cs="Times New Roman"/>
          <w:snapToGrid/>
          <w:color w:val="000000" w:themeColor="text1"/>
          <w:kern w:val="2"/>
          <w:sz w:val="32"/>
          <w:szCs w:val="32"/>
          <w:highlight w:val="none"/>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2AA459B4">
      <w:pPr>
        <w:spacing w:line="58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（四）工程造价</w:t>
      </w:r>
    </w:p>
    <w:p w14:paraId="451BAFEF">
      <w:pPr>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根据固定清单单价按实际发生工作量计（清单单价见合同格式后附件）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DADBE04">
      <w:pPr>
        <w:spacing w:line="580" w:lineRule="exact"/>
        <w:ind w:firstLine="640"/>
        <w:jc w:val="left"/>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二、资格要求</w:t>
      </w:r>
    </w:p>
    <w:p w14:paraId="43C2BBF3">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属于武夷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w:t>
      </w:r>
      <w:r>
        <w:rPr>
          <w:rFonts w:hint="eastAsia" w:ascii="仿宋_GB2312" w:hAnsi="仿宋_GB2312" w:eastAsia="仿宋_GB2312" w:cs="仿宋_GB2312"/>
          <w:color w:val="000000" w:themeColor="text1"/>
          <w:sz w:val="32"/>
          <w:szCs w:val="32"/>
          <w14:textFill>
            <w14:solidFill>
              <w14:schemeClr w14:val="tx1"/>
            </w14:solidFill>
          </w14:textFill>
        </w:rPr>
        <w:t>集团有限公司养护班组库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14:textFill>
            <w14:solidFill>
              <w14:schemeClr w14:val="tx1"/>
            </w14:solidFill>
          </w14:textFill>
        </w:rPr>
        <w:t>养护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作业</w:t>
      </w:r>
      <w:r>
        <w:rPr>
          <w:rFonts w:hint="eastAsia" w:ascii="仿宋_GB2312" w:hAnsi="仿宋_GB2312" w:eastAsia="仿宋_GB2312" w:cs="仿宋_GB2312"/>
          <w:color w:val="000000" w:themeColor="text1"/>
          <w:sz w:val="32"/>
          <w:szCs w:val="32"/>
          <w14:textFill>
            <w14:solidFill>
              <w14:schemeClr w14:val="tx1"/>
            </w14:solidFill>
          </w14:textFill>
        </w:rPr>
        <w:t>类班组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资质证书在有效期内、已中选龙浦高速、武邵高速、延顺高速、邵光高速、顺邵高速、武沙高速合掌岩互通、联络线、省道303及横二线日常养护的班组除外）</w:t>
      </w:r>
      <w:r>
        <w:rPr>
          <w:rFonts w:hint="eastAsia" w:ascii="仿宋_GB2312" w:hAnsi="仿宋_GB2312" w:eastAsia="仿宋_GB2312" w:cs="仿宋_GB2312"/>
          <w:color w:val="000000" w:themeColor="text1"/>
          <w:sz w:val="32"/>
          <w:szCs w:val="32"/>
          <w14:textFill>
            <w14:solidFill>
              <w14:schemeClr w14:val="tx1"/>
            </w14:solidFill>
          </w14:textFill>
        </w:rPr>
        <w:t>；</w:t>
      </w:r>
    </w:p>
    <w:p w14:paraId="77C45535">
      <w:pPr>
        <w:pStyle w:val="2"/>
        <w:jc w:val="center"/>
        <w:rPr>
          <w:rFonts w:hint="eastAsia" w:ascii="仿宋" w:hAnsi="仿宋" w:eastAsia="仿宋"/>
          <w:b w:val="0"/>
          <w:bCs w:val="0"/>
          <w:color w:val="000000" w:themeColor="text1"/>
          <w:sz w:val="32"/>
          <w:szCs w:val="32"/>
          <w:lang w:val="en-US" w:eastAsia="zh-CN"/>
          <w14:textFill>
            <w14:solidFill>
              <w14:schemeClr w14:val="tx1"/>
            </w14:solidFill>
          </w14:textFill>
        </w:rPr>
      </w:pPr>
      <w:r>
        <w:rPr>
          <w:rFonts w:hint="eastAsia" w:ascii="仿宋" w:hAnsi="仿宋" w:eastAsia="仿宋"/>
          <w:b w:val="0"/>
          <w:bCs w:val="0"/>
          <w:color w:val="000000" w:themeColor="text1"/>
          <w:sz w:val="32"/>
          <w:szCs w:val="32"/>
          <w:lang w:val="en-US" w:eastAsia="zh-CN"/>
          <w14:textFill>
            <w14:solidFill>
              <w14:schemeClr w14:val="tx1"/>
            </w14:solidFill>
          </w14:textFill>
        </w:rPr>
        <w:t>《不再参与本次劳务班组选择的班组名单》</w:t>
      </w:r>
    </w:p>
    <w:tbl>
      <w:tblPr>
        <w:tblStyle w:val="7"/>
        <w:tblW w:w="9670"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4833"/>
        <w:gridCol w:w="1868"/>
        <w:gridCol w:w="1882"/>
      </w:tblGrid>
      <w:tr w14:paraId="744C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BCC455E">
            <w:pPr>
              <w:pStyle w:val="2"/>
              <w:jc w:val="center"/>
              <w:rPr>
                <w:rFonts w:hint="default" w:ascii="仿宋" w:hAnsi="仿宋" w:eastAsia="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b/>
                <w:bCs/>
                <w:color w:val="000000" w:themeColor="text1"/>
                <w:sz w:val="32"/>
                <w:szCs w:val="32"/>
                <w:vertAlign w:val="baseline"/>
                <w:lang w:val="en-US" w:eastAsia="zh-CN"/>
                <w14:textFill>
                  <w14:solidFill>
                    <w14:schemeClr w14:val="tx1"/>
                  </w14:solidFill>
                </w14:textFill>
              </w:rPr>
              <w:t>序号</w:t>
            </w:r>
          </w:p>
        </w:tc>
        <w:tc>
          <w:tcPr>
            <w:tcW w:w="4833" w:type="dxa"/>
          </w:tcPr>
          <w:p w14:paraId="378412DB">
            <w:pPr>
              <w:pStyle w:val="2"/>
              <w:jc w:val="center"/>
              <w:rPr>
                <w:rFonts w:hint="default" w:ascii="仿宋" w:hAnsi="仿宋" w:eastAsia="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b/>
                <w:bCs/>
                <w:color w:val="000000" w:themeColor="text1"/>
                <w:sz w:val="32"/>
                <w:szCs w:val="32"/>
                <w:vertAlign w:val="baseline"/>
                <w:lang w:val="en-US" w:eastAsia="zh-CN"/>
                <w14:textFill>
                  <w14:solidFill>
                    <w14:schemeClr w14:val="tx1"/>
                  </w14:solidFill>
                </w14:textFill>
              </w:rPr>
              <w:t>班组名称</w:t>
            </w:r>
          </w:p>
        </w:tc>
        <w:tc>
          <w:tcPr>
            <w:tcW w:w="1868" w:type="dxa"/>
          </w:tcPr>
          <w:p w14:paraId="0657979A">
            <w:pPr>
              <w:pStyle w:val="2"/>
              <w:jc w:val="center"/>
              <w:rPr>
                <w:rFonts w:hint="default" w:ascii="仿宋" w:hAnsi="仿宋" w:eastAsia="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b/>
                <w:bCs/>
                <w:color w:val="000000" w:themeColor="text1"/>
                <w:sz w:val="32"/>
                <w:szCs w:val="32"/>
                <w:vertAlign w:val="baseline"/>
                <w:lang w:val="en-US" w:eastAsia="zh-CN"/>
                <w14:textFill>
                  <w14:solidFill>
                    <w14:schemeClr w14:val="tx1"/>
                  </w14:solidFill>
                </w14:textFill>
              </w:rPr>
              <w:t>专业类别</w:t>
            </w:r>
          </w:p>
        </w:tc>
        <w:tc>
          <w:tcPr>
            <w:tcW w:w="1882" w:type="dxa"/>
          </w:tcPr>
          <w:p w14:paraId="4BCF229E">
            <w:pPr>
              <w:pStyle w:val="2"/>
              <w:jc w:val="center"/>
              <w:rPr>
                <w:rFonts w:hint="default" w:ascii="仿宋" w:hAnsi="仿宋" w:eastAsia="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b/>
                <w:bCs/>
                <w:color w:val="000000" w:themeColor="text1"/>
                <w:sz w:val="32"/>
                <w:szCs w:val="32"/>
                <w:vertAlign w:val="baseline"/>
                <w:lang w:val="en-US" w:eastAsia="zh-CN"/>
                <w14:textFill>
                  <w14:solidFill>
                    <w14:schemeClr w14:val="tx1"/>
                  </w14:solidFill>
                </w14:textFill>
              </w:rPr>
              <w:t>备注</w:t>
            </w:r>
          </w:p>
        </w:tc>
      </w:tr>
      <w:tr w14:paraId="5F28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1B69557C">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1</w:t>
            </w:r>
          </w:p>
        </w:tc>
        <w:tc>
          <w:tcPr>
            <w:tcW w:w="4833" w:type="dxa"/>
            <w:vAlign w:val="top"/>
          </w:tcPr>
          <w:p w14:paraId="0467ED4C">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南平永发公路工程建设有限公司</w:t>
            </w:r>
          </w:p>
        </w:tc>
        <w:tc>
          <w:tcPr>
            <w:tcW w:w="1868" w:type="dxa"/>
            <w:vAlign w:val="top"/>
          </w:tcPr>
          <w:p w14:paraId="20F7CD13">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vAlign w:val="top"/>
          </w:tcPr>
          <w:p w14:paraId="42024E40">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龙浦</w:t>
            </w:r>
          </w:p>
        </w:tc>
      </w:tr>
      <w:tr w14:paraId="238B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55384551">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2</w:t>
            </w:r>
          </w:p>
        </w:tc>
        <w:tc>
          <w:tcPr>
            <w:tcW w:w="4833" w:type="dxa"/>
            <w:vAlign w:val="top"/>
          </w:tcPr>
          <w:p w14:paraId="0238F2DD">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福建省交建公路工程有限公司</w:t>
            </w:r>
          </w:p>
        </w:tc>
        <w:tc>
          <w:tcPr>
            <w:tcW w:w="1868" w:type="dxa"/>
            <w:shd w:val="clear" w:color="auto" w:fill="auto"/>
            <w:vAlign w:val="top"/>
          </w:tcPr>
          <w:p w14:paraId="7850FC8F">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vAlign w:val="top"/>
          </w:tcPr>
          <w:p w14:paraId="6DEB7B35">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武邵麻沙</w:t>
            </w:r>
          </w:p>
        </w:tc>
      </w:tr>
      <w:tr w14:paraId="79EF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655B8E5D">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3</w:t>
            </w:r>
          </w:p>
        </w:tc>
        <w:tc>
          <w:tcPr>
            <w:tcW w:w="4833" w:type="dxa"/>
            <w:shd w:val="clear" w:color="auto" w:fill="auto"/>
            <w:vAlign w:val="top"/>
          </w:tcPr>
          <w:p w14:paraId="28A69D7A">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厦门市鑫路广工程有限公司</w:t>
            </w:r>
          </w:p>
        </w:tc>
        <w:tc>
          <w:tcPr>
            <w:tcW w:w="1868" w:type="dxa"/>
            <w:shd w:val="clear" w:color="auto" w:fill="auto"/>
            <w:vAlign w:val="top"/>
          </w:tcPr>
          <w:p w14:paraId="75C591C5">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shd w:val="clear" w:color="auto" w:fill="auto"/>
            <w:vAlign w:val="top"/>
          </w:tcPr>
          <w:p w14:paraId="6C44767D">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武邵邵武西</w:t>
            </w:r>
          </w:p>
        </w:tc>
      </w:tr>
      <w:tr w14:paraId="64A7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0334E2E9">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4</w:t>
            </w:r>
          </w:p>
        </w:tc>
        <w:tc>
          <w:tcPr>
            <w:tcW w:w="4833" w:type="dxa"/>
            <w:shd w:val="clear" w:color="auto" w:fill="auto"/>
            <w:vAlign w:val="top"/>
          </w:tcPr>
          <w:p w14:paraId="1FCB1AE3">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厦门路桥百城交通工程有限公司</w:t>
            </w:r>
          </w:p>
        </w:tc>
        <w:tc>
          <w:tcPr>
            <w:tcW w:w="1868" w:type="dxa"/>
            <w:shd w:val="clear" w:color="auto" w:fill="auto"/>
            <w:vAlign w:val="top"/>
          </w:tcPr>
          <w:p w14:paraId="02A10510">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shd w:val="clear" w:color="auto" w:fill="auto"/>
            <w:vAlign w:val="top"/>
          </w:tcPr>
          <w:p w14:paraId="0D7149C3">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延顺</w:t>
            </w:r>
          </w:p>
        </w:tc>
      </w:tr>
      <w:tr w14:paraId="76E7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271E0FF2">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5</w:t>
            </w:r>
          </w:p>
        </w:tc>
        <w:tc>
          <w:tcPr>
            <w:tcW w:w="4833" w:type="dxa"/>
            <w:shd w:val="clear" w:color="auto" w:fill="auto"/>
            <w:vAlign w:val="top"/>
          </w:tcPr>
          <w:p w14:paraId="0F872540">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福建怡鹭工程有限公司</w:t>
            </w:r>
          </w:p>
        </w:tc>
        <w:tc>
          <w:tcPr>
            <w:tcW w:w="1868" w:type="dxa"/>
            <w:shd w:val="clear" w:color="auto" w:fill="auto"/>
            <w:vAlign w:val="top"/>
          </w:tcPr>
          <w:p w14:paraId="2D67A983">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shd w:val="clear" w:color="auto" w:fill="auto"/>
            <w:vAlign w:val="top"/>
          </w:tcPr>
          <w:p w14:paraId="745A0F32">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邵光</w:t>
            </w:r>
          </w:p>
        </w:tc>
      </w:tr>
      <w:tr w14:paraId="6605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31A68BF1">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6</w:t>
            </w:r>
          </w:p>
        </w:tc>
        <w:tc>
          <w:tcPr>
            <w:tcW w:w="4833" w:type="dxa"/>
            <w:shd w:val="clear" w:color="auto" w:fill="auto"/>
            <w:vAlign w:val="center"/>
          </w:tcPr>
          <w:p w14:paraId="2A5046BD">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南平路兴公路养护工程有限公司</w:t>
            </w:r>
          </w:p>
        </w:tc>
        <w:tc>
          <w:tcPr>
            <w:tcW w:w="1868" w:type="dxa"/>
            <w:shd w:val="clear" w:color="auto" w:fill="auto"/>
            <w:vAlign w:val="center"/>
          </w:tcPr>
          <w:p w14:paraId="4AFE1DF0">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shd w:val="clear" w:color="auto" w:fill="auto"/>
            <w:vAlign w:val="top"/>
          </w:tcPr>
          <w:p w14:paraId="47362714">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顺邵及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武沙高速合掌岩互通</w:t>
            </w:r>
          </w:p>
        </w:tc>
      </w:tr>
      <w:tr w14:paraId="2B38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tcPr>
          <w:p w14:paraId="7763184D">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7</w:t>
            </w:r>
          </w:p>
        </w:tc>
        <w:tc>
          <w:tcPr>
            <w:tcW w:w="4833" w:type="dxa"/>
            <w:vAlign w:val="top"/>
          </w:tcPr>
          <w:p w14:paraId="28C408D7">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福建第一公路工程集团有限公司</w:t>
            </w:r>
          </w:p>
        </w:tc>
        <w:tc>
          <w:tcPr>
            <w:tcW w:w="1868" w:type="dxa"/>
            <w:vAlign w:val="top"/>
          </w:tcPr>
          <w:p w14:paraId="14F7503B">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vAlign w:val="top"/>
          </w:tcPr>
          <w:p w14:paraId="2E454A0C">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联络线</w:t>
            </w:r>
          </w:p>
        </w:tc>
      </w:tr>
      <w:tr w14:paraId="15D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172D03D">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8</w:t>
            </w:r>
          </w:p>
        </w:tc>
        <w:tc>
          <w:tcPr>
            <w:tcW w:w="4833" w:type="dxa"/>
            <w:shd w:val="clear" w:color="auto" w:fill="auto"/>
            <w:vAlign w:val="center"/>
          </w:tcPr>
          <w:p w14:paraId="42FCFD24">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福建山水建设工程有限公司</w:t>
            </w:r>
          </w:p>
        </w:tc>
        <w:tc>
          <w:tcPr>
            <w:tcW w:w="1868" w:type="dxa"/>
            <w:shd w:val="clear" w:color="auto" w:fill="auto"/>
            <w:vAlign w:val="center"/>
          </w:tcPr>
          <w:p w14:paraId="20B41B17">
            <w:pPr>
              <w:pStyle w:val="2"/>
              <w:jc w:val="center"/>
              <w:rPr>
                <w:rFonts w:hint="eastAsia"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shd w:val="clear" w:color="auto" w:fill="auto"/>
            <w:vAlign w:val="top"/>
          </w:tcPr>
          <w:p w14:paraId="5D9DFC94">
            <w:pPr>
              <w:pStyle w:val="2"/>
              <w:jc w:val="center"/>
              <w:rPr>
                <w:rFonts w:hint="default" w:ascii="仿宋" w:hAnsi="仿宋" w:eastAsia="仿宋" w:cs="Times New Roman"/>
                <w:b w:val="0"/>
                <w:bCs w:val="0"/>
                <w:color w:val="000000" w:themeColor="text1"/>
                <w:kern w:val="2"/>
                <w:sz w:val="32"/>
                <w:szCs w:val="32"/>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省道303及横二线</w:t>
            </w:r>
          </w:p>
        </w:tc>
      </w:tr>
      <w:tr w14:paraId="2D6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B01AB60">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9</w:t>
            </w:r>
          </w:p>
        </w:tc>
        <w:tc>
          <w:tcPr>
            <w:tcW w:w="4833" w:type="dxa"/>
            <w:vAlign w:val="center"/>
          </w:tcPr>
          <w:p w14:paraId="21029F06">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t>福建省道桥建设有限公司</w:t>
            </w:r>
          </w:p>
        </w:tc>
        <w:tc>
          <w:tcPr>
            <w:tcW w:w="1868" w:type="dxa"/>
            <w:vAlign w:val="center"/>
          </w:tcPr>
          <w:p w14:paraId="45017221">
            <w:pPr>
              <w:pStyle w:val="2"/>
              <w:jc w:val="cente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 w:hAnsi="仿宋" w:eastAsia="仿宋"/>
                <w:b w:val="0"/>
                <w:bCs w:val="0"/>
                <w:color w:val="000000" w:themeColor="text1"/>
                <w:sz w:val="32"/>
                <w:szCs w:val="32"/>
                <w:vertAlign w:val="baseline"/>
                <w:lang w:val="en-US" w:eastAsia="zh-CN"/>
                <w14:textFill>
                  <w14:solidFill>
                    <w14:schemeClr w14:val="tx1"/>
                  </w14:solidFill>
                </w14:textFill>
              </w:rPr>
              <w:t>养护作业类</w:t>
            </w:r>
          </w:p>
        </w:tc>
        <w:tc>
          <w:tcPr>
            <w:tcW w:w="1882" w:type="dxa"/>
            <w:vAlign w:val="top"/>
          </w:tcPr>
          <w:p w14:paraId="70A02A81">
            <w:pPr>
              <w:pStyle w:val="2"/>
              <w:jc w:val="center"/>
              <w:rPr>
                <w:rFonts w:hint="default" w:ascii="仿宋" w:hAnsi="仿宋" w:eastAsia="仿宋"/>
                <w:b w:val="0"/>
                <w:bCs w:val="0"/>
                <w:color w:val="000000" w:themeColor="text1"/>
                <w:sz w:val="32"/>
                <w:szCs w:val="32"/>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省道303及横二线</w:t>
            </w:r>
          </w:p>
        </w:tc>
      </w:tr>
    </w:tbl>
    <w:p w14:paraId="36461475">
      <w:pPr>
        <w:pStyle w:val="2"/>
        <w:rPr>
          <w:rFonts w:hint="eastAsia"/>
        </w:rPr>
      </w:pPr>
    </w:p>
    <w:p w14:paraId="40651A55">
      <w:pPr>
        <w:spacing w:beforeLines="-2147483648" w:afterLines="-2147483648" w:line="580" w:lineRule="exact"/>
        <w:ind w:firstLine="640" w:firstLineChars="20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2、原则上在约定的期限内班组的作业内容可包含日常养护工作及200万元以下的专项养护项目，若班组资质不具备相应专项工程对应专业资质要求，则按相关规定另选班组。</w:t>
      </w:r>
    </w:p>
    <w:p w14:paraId="408C75F2">
      <w:pPr>
        <w:spacing w:beforeLines="-2147483648" w:afterLines="-2147483648" w:line="580" w:lineRule="exact"/>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拟派出的现场负责人需提交本人在本公司近</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个月中至少连续</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个月的社保证明。(近6个月指202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月至今)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DB951F6">
      <w:pPr>
        <w:spacing w:beforeLines="-2147483648" w:afterLines="-2147483648" w:line="580" w:lineRule="exact"/>
        <w:ind w:firstLine="640" w:firstLineChars="200"/>
        <w:jc w:val="center"/>
        <w:rPr>
          <w:rFonts w:eastAsia="黑体"/>
          <w:bCs/>
          <w:kern w:val="0"/>
          <w:sz w:val="32"/>
          <w:szCs w:val="20"/>
        </w:rPr>
      </w:pPr>
      <w:r>
        <w:rPr>
          <w:rFonts w:hint="eastAsia" w:eastAsia="黑体"/>
          <w:kern w:val="0"/>
          <w:sz w:val="32"/>
          <w:szCs w:val="20"/>
        </w:rPr>
        <w:t>日常养护各标段施工人员机械设备最低要求</w:t>
      </w:r>
    </w:p>
    <w:tbl>
      <w:tblPr>
        <w:tblStyle w:val="6"/>
        <w:tblW w:w="7758"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050"/>
        <w:gridCol w:w="4845"/>
      </w:tblGrid>
      <w:tr w14:paraId="5A2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863" w:type="dxa"/>
            <w:noWrap/>
            <w:vAlign w:val="center"/>
          </w:tcPr>
          <w:p w14:paraId="586BC5D7">
            <w:pPr>
              <w:jc w:val="center"/>
              <w:rPr>
                <w:rFonts w:ascii="宋体" w:hAnsi="宋体"/>
                <w:bCs/>
                <w:color w:val="000000"/>
                <w:sz w:val="24"/>
              </w:rPr>
            </w:pPr>
            <w:r>
              <w:rPr>
                <w:rFonts w:hint="eastAsia" w:ascii="宋体" w:hAnsi="宋体"/>
                <w:bCs/>
                <w:color w:val="000000"/>
                <w:sz w:val="24"/>
              </w:rPr>
              <w:t>岗位名称</w:t>
            </w:r>
          </w:p>
        </w:tc>
        <w:tc>
          <w:tcPr>
            <w:tcW w:w="1050" w:type="dxa"/>
            <w:noWrap/>
            <w:vAlign w:val="center"/>
          </w:tcPr>
          <w:p w14:paraId="6226091F">
            <w:pPr>
              <w:jc w:val="center"/>
              <w:rPr>
                <w:rFonts w:ascii="宋体" w:hAnsi="宋体"/>
                <w:bCs/>
                <w:color w:val="000000"/>
                <w:sz w:val="24"/>
              </w:rPr>
            </w:pPr>
            <w:r>
              <w:rPr>
                <w:rFonts w:hint="eastAsia" w:ascii="宋体" w:hAnsi="宋体" w:cs="宋体"/>
                <w:color w:val="000000"/>
                <w:sz w:val="24"/>
              </w:rPr>
              <w:t>数  量</w:t>
            </w:r>
          </w:p>
        </w:tc>
        <w:tc>
          <w:tcPr>
            <w:tcW w:w="4845" w:type="dxa"/>
            <w:noWrap/>
            <w:vAlign w:val="center"/>
          </w:tcPr>
          <w:p w14:paraId="069AB2BB">
            <w:pPr>
              <w:jc w:val="center"/>
              <w:rPr>
                <w:rFonts w:ascii="宋体" w:hAnsi="宋体"/>
                <w:bCs/>
                <w:color w:val="000000"/>
                <w:sz w:val="24"/>
              </w:rPr>
            </w:pPr>
            <w:r>
              <w:rPr>
                <w:rFonts w:hint="eastAsia" w:ascii="宋体" w:hAnsi="宋体" w:cs="宋体"/>
                <w:color w:val="000000"/>
                <w:sz w:val="24"/>
              </w:rPr>
              <w:t>资 格 要 求</w:t>
            </w:r>
          </w:p>
        </w:tc>
      </w:tr>
      <w:tr w14:paraId="50CD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exact"/>
        </w:trPr>
        <w:tc>
          <w:tcPr>
            <w:tcW w:w="1863" w:type="dxa"/>
            <w:noWrap/>
          </w:tcPr>
          <w:p w14:paraId="57123691">
            <w:pPr>
              <w:jc w:val="center"/>
              <w:rPr>
                <w:rFonts w:ascii="宋体" w:hAnsi="宋体"/>
                <w:bCs/>
                <w:color w:val="000000"/>
                <w:sz w:val="24"/>
              </w:rPr>
            </w:pPr>
            <w:r>
              <w:rPr>
                <w:rFonts w:hint="eastAsia" w:ascii="宋体" w:hAnsi="宋体"/>
                <w:bCs/>
                <w:color w:val="000000"/>
                <w:sz w:val="24"/>
              </w:rPr>
              <w:t>项目经理</w:t>
            </w:r>
          </w:p>
        </w:tc>
        <w:tc>
          <w:tcPr>
            <w:tcW w:w="1050" w:type="dxa"/>
            <w:noWrap/>
          </w:tcPr>
          <w:p w14:paraId="072373C0">
            <w:pPr>
              <w:jc w:val="center"/>
              <w:rPr>
                <w:rFonts w:ascii="宋体" w:hAnsi="宋体"/>
                <w:bCs/>
                <w:color w:val="000000"/>
                <w:sz w:val="24"/>
              </w:rPr>
            </w:pPr>
            <w:r>
              <w:rPr>
                <w:rFonts w:hint="eastAsia" w:ascii="宋体" w:hAnsi="宋体"/>
                <w:bCs/>
                <w:color w:val="000000"/>
                <w:sz w:val="24"/>
              </w:rPr>
              <w:t>1人</w:t>
            </w:r>
          </w:p>
        </w:tc>
        <w:tc>
          <w:tcPr>
            <w:tcW w:w="4845" w:type="dxa"/>
            <w:noWrap/>
          </w:tcPr>
          <w:p w14:paraId="7FA0B54A">
            <w:pPr>
              <w:rPr>
                <w:rFonts w:ascii="宋体" w:hAnsi="宋体"/>
                <w:bCs/>
                <w:color w:val="000000"/>
                <w:sz w:val="24"/>
              </w:rPr>
            </w:pPr>
            <w:r>
              <w:rPr>
                <w:rFonts w:hint="eastAsia" w:ascii="宋体" w:hAnsi="宋体" w:cs="宋体"/>
                <w:sz w:val="24"/>
              </w:rPr>
              <w:t>应具备有效的二级及以上公路工程专业的建造师注册证书，持有交通或建设主管部门核发的有效安全生产考核合格证书B证</w:t>
            </w:r>
          </w:p>
        </w:tc>
      </w:tr>
      <w:tr w14:paraId="69A2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exact"/>
        </w:trPr>
        <w:tc>
          <w:tcPr>
            <w:tcW w:w="1863" w:type="dxa"/>
            <w:noWrap/>
          </w:tcPr>
          <w:p w14:paraId="0D857B76">
            <w:pPr>
              <w:jc w:val="center"/>
              <w:rPr>
                <w:rFonts w:ascii="宋体" w:hAnsi="宋体"/>
                <w:bCs/>
                <w:color w:val="000000"/>
                <w:sz w:val="24"/>
              </w:rPr>
            </w:pPr>
            <w:r>
              <w:rPr>
                <w:rFonts w:hint="eastAsia" w:ascii="宋体" w:hAnsi="宋体"/>
                <w:bCs/>
                <w:color w:val="000000"/>
                <w:sz w:val="24"/>
              </w:rPr>
              <w:t>技术负责人</w:t>
            </w:r>
          </w:p>
        </w:tc>
        <w:tc>
          <w:tcPr>
            <w:tcW w:w="1050" w:type="dxa"/>
            <w:noWrap/>
          </w:tcPr>
          <w:p w14:paraId="59C260BD">
            <w:pPr>
              <w:jc w:val="center"/>
              <w:rPr>
                <w:rFonts w:ascii="宋体" w:hAnsi="宋体"/>
                <w:bCs/>
                <w:color w:val="000000"/>
                <w:sz w:val="24"/>
              </w:rPr>
            </w:pPr>
            <w:r>
              <w:rPr>
                <w:rFonts w:hint="eastAsia" w:ascii="宋体" w:hAnsi="宋体"/>
                <w:bCs/>
                <w:color w:val="000000"/>
                <w:sz w:val="24"/>
              </w:rPr>
              <w:t>1人</w:t>
            </w:r>
          </w:p>
        </w:tc>
        <w:tc>
          <w:tcPr>
            <w:tcW w:w="4845" w:type="dxa"/>
            <w:noWrap/>
          </w:tcPr>
          <w:p w14:paraId="02CE41CC">
            <w:pPr>
              <w:rPr>
                <w:rFonts w:ascii="宋体" w:hAnsi="宋体"/>
                <w:bCs/>
                <w:color w:val="000000"/>
                <w:sz w:val="24"/>
              </w:rPr>
            </w:pPr>
            <w:r>
              <w:rPr>
                <w:rFonts w:hint="eastAsia" w:ascii="宋体" w:hAnsi="宋体" w:cs="宋体"/>
                <w:sz w:val="24"/>
              </w:rPr>
              <w:t>应具有路桥类专业中级工程师或以上职称</w:t>
            </w:r>
          </w:p>
        </w:tc>
      </w:tr>
      <w:tr w14:paraId="44B3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exact"/>
        </w:trPr>
        <w:tc>
          <w:tcPr>
            <w:tcW w:w="1863" w:type="dxa"/>
            <w:noWrap/>
          </w:tcPr>
          <w:p w14:paraId="57BAFF5D">
            <w:pPr>
              <w:jc w:val="center"/>
              <w:rPr>
                <w:rFonts w:ascii="宋体" w:hAnsi="宋体"/>
                <w:bCs/>
                <w:color w:val="000000"/>
                <w:sz w:val="24"/>
              </w:rPr>
            </w:pPr>
            <w:r>
              <w:rPr>
                <w:rFonts w:hint="eastAsia" w:ascii="宋体" w:hAnsi="宋体"/>
                <w:bCs/>
                <w:color w:val="000000"/>
                <w:sz w:val="24"/>
              </w:rPr>
              <w:t>安全员</w:t>
            </w:r>
          </w:p>
        </w:tc>
        <w:tc>
          <w:tcPr>
            <w:tcW w:w="1050" w:type="dxa"/>
            <w:noWrap/>
          </w:tcPr>
          <w:p w14:paraId="6BE3A6B3">
            <w:pPr>
              <w:jc w:val="center"/>
              <w:rPr>
                <w:rFonts w:ascii="宋体" w:hAnsi="宋体"/>
                <w:bCs/>
                <w:color w:val="000000"/>
                <w:sz w:val="24"/>
              </w:rPr>
            </w:pPr>
            <w:r>
              <w:rPr>
                <w:rFonts w:hint="eastAsia" w:ascii="宋体" w:hAnsi="宋体"/>
                <w:bCs/>
                <w:color w:val="000000"/>
                <w:sz w:val="24"/>
              </w:rPr>
              <w:t>1人</w:t>
            </w:r>
          </w:p>
        </w:tc>
        <w:tc>
          <w:tcPr>
            <w:tcW w:w="4845" w:type="dxa"/>
            <w:noWrap/>
          </w:tcPr>
          <w:p w14:paraId="2CC5073B">
            <w:pPr>
              <w:rPr>
                <w:rFonts w:ascii="宋体" w:hAnsi="宋体"/>
                <w:bCs/>
                <w:color w:val="000000"/>
                <w:sz w:val="24"/>
              </w:rPr>
            </w:pPr>
            <w:r>
              <w:rPr>
                <w:rFonts w:hint="eastAsia" w:ascii="宋体" w:hAnsi="宋体" w:cs="宋体"/>
                <w:sz w:val="24"/>
              </w:rPr>
              <w:t>持有交通或建设主管部门颁发的有效的公路工程安全生产考核合格证C类</w:t>
            </w:r>
          </w:p>
        </w:tc>
      </w:tr>
    </w:tbl>
    <w:p w14:paraId="38DABE2B">
      <w:pPr>
        <w:numPr>
          <w:ilvl w:val="255"/>
          <w:numId w:val="0"/>
        </w:numPr>
      </w:pPr>
    </w:p>
    <w:tbl>
      <w:tblPr>
        <w:tblStyle w:val="6"/>
        <w:tblW w:w="0" w:type="auto"/>
        <w:tblInd w:w="474" w:type="dxa"/>
        <w:tblLayout w:type="fixed"/>
        <w:tblCellMar>
          <w:top w:w="0" w:type="dxa"/>
          <w:left w:w="108" w:type="dxa"/>
          <w:bottom w:w="0" w:type="dxa"/>
          <w:right w:w="108" w:type="dxa"/>
        </w:tblCellMar>
      </w:tblPr>
      <w:tblGrid>
        <w:gridCol w:w="780"/>
        <w:gridCol w:w="2130"/>
        <w:gridCol w:w="1485"/>
        <w:gridCol w:w="945"/>
        <w:gridCol w:w="1680"/>
        <w:gridCol w:w="825"/>
      </w:tblGrid>
      <w:tr w14:paraId="3CFF2E80">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050C0681">
            <w:pPr>
              <w:spacing w:line="420" w:lineRule="exact"/>
              <w:rPr>
                <w:rFonts w:ascii="宋体" w:hAnsi="宋体" w:cs="宋体"/>
                <w:color w:val="000000"/>
                <w:sz w:val="24"/>
              </w:rPr>
            </w:pPr>
            <w:r>
              <w:rPr>
                <w:rFonts w:hint="eastAsia" w:ascii="宋体" w:hAnsi="宋体" w:cs="宋体"/>
                <w:color w:val="000000"/>
                <w:sz w:val="24"/>
              </w:rPr>
              <w:t>序号</w:t>
            </w:r>
          </w:p>
        </w:tc>
        <w:tc>
          <w:tcPr>
            <w:tcW w:w="2130" w:type="dxa"/>
            <w:tcBorders>
              <w:top w:val="single" w:color="auto" w:sz="4" w:space="0"/>
              <w:left w:val="single" w:color="auto" w:sz="4" w:space="0"/>
              <w:bottom w:val="single" w:color="auto" w:sz="4" w:space="0"/>
              <w:right w:val="single" w:color="auto" w:sz="4" w:space="0"/>
            </w:tcBorders>
            <w:noWrap/>
          </w:tcPr>
          <w:p w14:paraId="28483A24">
            <w:pPr>
              <w:spacing w:line="420" w:lineRule="exact"/>
              <w:rPr>
                <w:rFonts w:ascii="宋体" w:hAnsi="宋体" w:cs="宋体"/>
                <w:color w:val="000000"/>
                <w:sz w:val="24"/>
              </w:rPr>
            </w:pPr>
            <w:r>
              <w:rPr>
                <w:rFonts w:hint="eastAsia" w:ascii="宋体" w:hAnsi="宋体" w:cs="宋体"/>
                <w:color w:val="000000"/>
                <w:sz w:val="24"/>
              </w:rPr>
              <w:t>机械设备名称</w:t>
            </w:r>
          </w:p>
        </w:tc>
        <w:tc>
          <w:tcPr>
            <w:tcW w:w="1485" w:type="dxa"/>
            <w:tcBorders>
              <w:top w:val="single" w:color="auto" w:sz="4" w:space="0"/>
              <w:left w:val="single" w:color="auto" w:sz="4" w:space="0"/>
              <w:bottom w:val="single" w:color="auto" w:sz="4" w:space="0"/>
              <w:right w:val="single" w:color="auto" w:sz="4" w:space="0"/>
            </w:tcBorders>
            <w:noWrap/>
          </w:tcPr>
          <w:p w14:paraId="0B8A50DC">
            <w:pPr>
              <w:spacing w:line="420" w:lineRule="exact"/>
              <w:rPr>
                <w:rFonts w:ascii="宋体" w:hAnsi="宋体" w:cs="宋体"/>
                <w:color w:val="000000"/>
                <w:sz w:val="24"/>
              </w:rPr>
            </w:pPr>
            <w:r>
              <w:rPr>
                <w:rFonts w:hint="eastAsia" w:ascii="宋体" w:hAnsi="宋体" w:cs="宋体"/>
                <w:color w:val="000000"/>
                <w:sz w:val="24"/>
              </w:rPr>
              <w:t>型号</w:t>
            </w:r>
          </w:p>
        </w:tc>
        <w:tc>
          <w:tcPr>
            <w:tcW w:w="945" w:type="dxa"/>
            <w:tcBorders>
              <w:top w:val="single" w:color="auto" w:sz="4" w:space="0"/>
              <w:left w:val="single" w:color="auto" w:sz="4" w:space="0"/>
              <w:bottom w:val="single" w:color="auto" w:sz="4" w:space="0"/>
              <w:right w:val="single" w:color="auto" w:sz="4" w:space="0"/>
            </w:tcBorders>
            <w:noWrap/>
          </w:tcPr>
          <w:p w14:paraId="11C8DFE0">
            <w:pPr>
              <w:spacing w:line="420" w:lineRule="exact"/>
              <w:rPr>
                <w:rFonts w:ascii="宋体" w:hAnsi="宋体" w:cs="宋体"/>
                <w:color w:val="000000"/>
                <w:sz w:val="24"/>
              </w:rPr>
            </w:pPr>
            <w:r>
              <w:rPr>
                <w:rFonts w:hint="eastAsia" w:ascii="宋体" w:hAnsi="宋体" w:cs="宋体"/>
                <w:color w:val="000000"/>
                <w:sz w:val="24"/>
              </w:rPr>
              <w:t>单位</w:t>
            </w:r>
          </w:p>
        </w:tc>
        <w:tc>
          <w:tcPr>
            <w:tcW w:w="1680" w:type="dxa"/>
            <w:tcBorders>
              <w:top w:val="single" w:color="auto" w:sz="4" w:space="0"/>
              <w:left w:val="single" w:color="auto" w:sz="4" w:space="0"/>
              <w:bottom w:val="single" w:color="auto" w:sz="4" w:space="0"/>
              <w:right w:val="single" w:color="auto" w:sz="4" w:space="0"/>
            </w:tcBorders>
            <w:noWrap/>
          </w:tcPr>
          <w:p w14:paraId="612E61A0">
            <w:pPr>
              <w:spacing w:line="420" w:lineRule="exact"/>
              <w:rPr>
                <w:rFonts w:ascii="宋体" w:hAnsi="宋体" w:cs="宋体"/>
                <w:color w:val="000000"/>
                <w:sz w:val="24"/>
              </w:rPr>
            </w:pPr>
            <w:r>
              <w:rPr>
                <w:rFonts w:hint="eastAsia" w:ascii="宋体" w:hAnsi="宋体" w:cs="宋体"/>
                <w:color w:val="000000"/>
                <w:sz w:val="24"/>
              </w:rPr>
              <w:t>每个标段至少</w:t>
            </w:r>
          </w:p>
        </w:tc>
        <w:tc>
          <w:tcPr>
            <w:tcW w:w="825" w:type="dxa"/>
            <w:tcBorders>
              <w:top w:val="single" w:color="auto" w:sz="4" w:space="0"/>
              <w:left w:val="single" w:color="auto" w:sz="4" w:space="0"/>
              <w:bottom w:val="single" w:color="auto" w:sz="4" w:space="0"/>
              <w:right w:val="single" w:color="auto" w:sz="4" w:space="0"/>
            </w:tcBorders>
            <w:noWrap/>
          </w:tcPr>
          <w:p w14:paraId="5A9C44FA">
            <w:pPr>
              <w:spacing w:line="420" w:lineRule="exact"/>
              <w:rPr>
                <w:rFonts w:ascii="宋体" w:hAnsi="宋体" w:cs="宋体"/>
                <w:color w:val="000000"/>
                <w:sz w:val="24"/>
              </w:rPr>
            </w:pPr>
            <w:r>
              <w:rPr>
                <w:rFonts w:hint="eastAsia" w:ascii="宋体" w:hAnsi="宋体" w:cs="宋体"/>
                <w:color w:val="000000"/>
                <w:sz w:val="24"/>
              </w:rPr>
              <w:t>备注</w:t>
            </w:r>
          </w:p>
        </w:tc>
      </w:tr>
      <w:tr w14:paraId="182A71D4">
        <w:tblPrEx>
          <w:tblCellMar>
            <w:top w:w="0" w:type="dxa"/>
            <w:left w:w="108" w:type="dxa"/>
            <w:bottom w:w="0" w:type="dxa"/>
            <w:right w:w="108" w:type="dxa"/>
          </w:tblCellMar>
        </w:tblPrEx>
        <w:trPr>
          <w:trHeight w:val="552" w:hRule="atLeast"/>
        </w:trPr>
        <w:tc>
          <w:tcPr>
            <w:tcW w:w="780" w:type="dxa"/>
            <w:tcBorders>
              <w:top w:val="single" w:color="auto" w:sz="4" w:space="0"/>
              <w:left w:val="single" w:color="auto" w:sz="4" w:space="0"/>
              <w:bottom w:val="single" w:color="auto" w:sz="4" w:space="0"/>
              <w:right w:val="single" w:color="auto" w:sz="4" w:space="0"/>
            </w:tcBorders>
            <w:noWrap/>
          </w:tcPr>
          <w:p w14:paraId="0C562980">
            <w:pPr>
              <w:spacing w:line="420" w:lineRule="exact"/>
              <w:rPr>
                <w:rFonts w:ascii="宋体" w:hAnsi="宋体" w:cs="宋体"/>
                <w:color w:val="000000"/>
                <w:sz w:val="24"/>
              </w:rPr>
            </w:pPr>
            <w:r>
              <w:rPr>
                <w:rFonts w:hint="eastAsia" w:ascii="宋体" w:hAnsi="宋体" w:cs="宋体"/>
                <w:color w:val="000000"/>
                <w:sz w:val="24"/>
              </w:rPr>
              <w:t>1</w:t>
            </w:r>
          </w:p>
        </w:tc>
        <w:tc>
          <w:tcPr>
            <w:tcW w:w="2130" w:type="dxa"/>
            <w:tcBorders>
              <w:top w:val="single" w:color="auto" w:sz="4" w:space="0"/>
              <w:left w:val="single" w:color="auto" w:sz="4" w:space="0"/>
              <w:bottom w:val="single" w:color="auto" w:sz="4" w:space="0"/>
              <w:right w:val="single" w:color="auto" w:sz="4" w:space="0"/>
            </w:tcBorders>
            <w:noWrap/>
          </w:tcPr>
          <w:p w14:paraId="29E83EB1">
            <w:pPr>
              <w:spacing w:line="420" w:lineRule="exact"/>
              <w:rPr>
                <w:rFonts w:ascii="宋体" w:hAnsi="宋体" w:cs="宋体"/>
                <w:color w:val="000000"/>
                <w:sz w:val="24"/>
              </w:rPr>
            </w:pPr>
            <w:r>
              <w:rPr>
                <w:rFonts w:hint="eastAsia" w:ascii="宋体" w:hAnsi="宋体" w:cs="宋体"/>
                <w:color w:val="000000"/>
                <w:sz w:val="24"/>
              </w:rPr>
              <w:t>皮卡车</w:t>
            </w:r>
          </w:p>
        </w:tc>
        <w:tc>
          <w:tcPr>
            <w:tcW w:w="1485" w:type="dxa"/>
            <w:tcBorders>
              <w:top w:val="single" w:color="auto" w:sz="4" w:space="0"/>
              <w:left w:val="single" w:color="auto" w:sz="4" w:space="0"/>
              <w:bottom w:val="single" w:color="auto" w:sz="4" w:space="0"/>
              <w:right w:val="single" w:color="auto" w:sz="4" w:space="0"/>
            </w:tcBorders>
            <w:noWrap/>
          </w:tcPr>
          <w:p w14:paraId="127C7F19">
            <w:pPr>
              <w:spacing w:line="420" w:lineRule="exact"/>
              <w:rPr>
                <w:rFonts w:ascii="宋体" w:hAnsi="宋体" w:cs="宋体"/>
                <w:color w:val="000000"/>
                <w:sz w:val="24"/>
              </w:rPr>
            </w:pPr>
            <w:r>
              <w:rPr>
                <w:rFonts w:hint="eastAsia" w:ascii="宋体" w:hAnsi="宋体" w:cs="宋体"/>
                <w:color w:val="000000"/>
                <w:sz w:val="24"/>
              </w:rPr>
              <w:t>0.5-1t</w:t>
            </w:r>
          </w:p>
        </w:tc>
        <w:tc>
          <w:tcPr>
            <w:tcW w:w="945" w:type="dxa"/>
            <w:tcBorders>
              <w:top w:val="single" w:color="auto" w:sz="4" w:space="0"/>
              <w:left w:val="single" w:color="auto" w:sz="4" w:space="0"/>
              <w:bottom w:val="single" w:color="auto" w:sz="4" w:space="0"/>
              <w:right w:val="single" w:color="auto" w:sz="4" w:space="0"/>
            </w:tcBorders>
            <w:noWrap/>
          </w:tcPr>
          <w:p w14:paraId="0729A871">
            <w:pPr>
              <w:spacing w:line="420" w:lineRule="exact"/>
              <w:rPr>
                <w:rFonts w:ascii="宋体" w:hAnsi="宋体" w:cs="宋体"/>
                <w:color w:val="000000"/>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620597AE">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14:paraId="338B68CF">
            <w:pPr>
              <w:spacing w:line="420" w:lineRule="exact"/>
              <w:rPr>
                <w:rFonts w:ascii="宋体" w:hAnsi="宋体" w:cs="宋体"/>
                <w:color w:val="000000"/>
                <w:sz w:val="24"/>
              </w:rPr>
            </w:pPr>
          </w:p>
        </w:tc>
      </w:tr>
      <w:tr w14:paraId="0FC6CA93">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685CC3F3">
            <w:pPr>
              <w:spacing w:line="420" w:lineRule="exact"/>
              <w:rPr>
                <w:rFonts w:ascii="宋体" w:hAnsi="宋体" w:cs="宋体"/>
                <w:color w:val="000000"/>
                <w:sz w:val="24"/>
              </w:rPr>
            </w:pPr>
            <w:r>
              <w:rPr>
                <w:rFonts w:hint="eastAsia" w:ascii="宋体" w:hAnsi="宋体" w:cs="宋体"/>
                <w:color w:val="000000"/>
                <w:sz w:val="24"/>
              </w:rPr>
              <w:t>2</w:t>
            </w:r>
          </w:p>
        </w:tc>
        <w:tc>
          <w:tcPr>
            <w:tcW w:w="2130" w:type="dxa"/>
            <w:tcBorders>
              <w:top w:val="single" w:color="auto" w:sz="4" w:space="0"/>
              <w:left w:val="single" w:color="auto" w:sz="4" w:space="0"/>
              <w:bottom w:val="single" w:color="auto" w:sz="4" w:space="0"/>
              <w:right w:val="single" w:color="auto" w:sz="4" w:space="0"/>
            </w:tcBorders>
            <w:noWrap/>
          </w:tcPr>
          <w:p w14:paraId="4D988886">
            <w:pPr>
              <w:spacing w:line="420" w:lineRule="exact"/>
              <w:rPr>
                <w:rFonts w:ascii="宋体" w:hAnsi="宋体" w:cs="宋体"/>
                <w:color w:val="000000"/>
                <w:sz w:val="24"/>
              </w:rPr>
            </w:pPr>
            <w:r>
              <w:rPr>
                <w:rFonts w:hint="eastAsia" w:ascii="宋体" w:hAnsi="宋体" w:cs="宋体"/>
                <w:color w:val="000000"/>
                <w:sz w:val="24"/>
              </w:rPr>
              <w:t>自卸汽车</w:t>
            </w:r>
          </w:p>
        </w:tc>
        <w:tc>
          <w:tcPr>
            <w:tcW w:w="1485" w:type="dxa"/>
            <w:tcBorders>
              <w:top w:val="single" w:color="auto" w:sz="4" w:space="0"/>
              <w:left w:val="single" w:color="auto" w:sz="4" w:space="0"/>
              <w:bottom w:val="single" w:color="auto" w:sz="4" w:space="0"/>
              <w:right w:val="single" w:color="auto" w:sz="4" w:space="0"/>
            </w:tcBorders>
            <w:noWrap/>
          </w:tcPr>
          <w:p w14:paraId="23FB5DBA">
            <w:pPr>
              <w:spacing w:line="420" w:lineRule="exact"/>
              <w:rPr>
                <w:rFonts w:ascii="宋体" w:hAnsi="宋体" w:cs="宋体"/>
                <w:color w:val="000000"/>
                <w:sz w:val="24"/>
              </w:rPr>
            </w:pPr>
            <w:r>
              <w:rPr>
                <w:rFonts w:hint="eastAsia" w:ascii="宋体" w:hAnsi="宋体" w:cs="宋体"/>
                <w:color w:val="000000"/>
                <w:sz w:val="24"/>
              </w:rPr>
              <w:t>8吨以上</w:t>
            </w:r>
          </w:p>
        </w:tc>
        <w:tc>
          <w:tcPr>
            <w:tcW w:w="945" w:type="dxa"/>
            <w:tcBorders>
              <w:top w:val="single" w:color="auto" w:sz="4" w:space="0"/>
              <w:left w:val="single" w:color="auto" w:sz="4" w:space="0"/>
              <w:bottom w:val="single" w:color="auto" w:sz="4" w:space="0"/>
              <w:right w:val="single" w:color="auto" w:sz="4" w:space="0"/>
            </w:tcBorders>
            <w:noWrap/>
          </w:tcPr>
          <w:p w14:paraId="3AA59DDB">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4651E388">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537C570E">
            <w:pPr>
              <w:spacing w:line="420" w:lineRule="exact"/>
              <w:rPr>
                <w:rFonts w:ascii="宋体" w:hAnsi="宋体" w:cs="宋体"/>
                <w:color w:val="000000"/>
                <w:sz w:val="24"/>
              </w:rPr>
            </w:pPr>
          </w:p>
        </w:tc>
      </w:tr>
      <w:tr w14:paraId="2AD74375">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59D14624">
            <w:pPr>
              <w:spacing w:line="420" w:lineRule="exact"/>
              <w:rPr>
                <w:rFonts w:ascii="宋体" w:hAnsi="宋体" w:cs="宋体"/>
                <w:color w:val="000000"/>
                <w:sz w:val="24"/>
              </w:rPr>
            </w:pPr>
            <w:r>
              <w:rPr>
                <w:rFonts w:hint="eastAsia" w:ascii="宋体" w:hAnsi="宋体" w:cs="宋体"/>
                <w:color w:val="000000"/>
                <w:sz w:val="24"/>
              </w:rPr>
              <w:t>3</w:t>
            </w:r>
          </w:p>
        </w:tc>
        <w:tc>
          <w:tcPr>
            <w:tcW w:w="2130" w:type="dxa"/>
            <w:tcBorders>
              <w:top w:val="single" w:color="auto" w:sz="4" w:space="0"/>
              <w:left w:val="single" w:color="auto" w:sz="4" w:space="0"/>
              <w:bottom w:val="single" w:color="auto" w:sz="4" w:space="0"/>
              <w:right w:val="single" w:color="auto" w:sz="4" w:space="0"/>
            </w:tcBorders>
            <w:noWrap/>
          </w:tcPr>
          <w:p w14:paraId="71416AF7">
            <w:pPr>
              <w:spacing w:line="420" w:lineRule="exact"/>
              <w:rPr>
                <w:rFonts w:ascii="宋体" w:hAnsi="宋体" w:cs="宋体"/>
                <w:color w:val="000000"/>
                <w:sz w:val="24"/>
              </w:rPr>
            </w:pPr>
            <w:r>
              <w:rPr>
                <w:rFonts w:hint="eastAsia" w:ascii="宋体" w:hAnsi="宋体" w:cs="宋体"/>
                <w:color w:val="000000"/>
                <w:sz w:val="24"/>
              </w:rPr>
              <w:t>小货车</w:t>
            </w:r>
          </w:p>
        </w:tc>
        <w:tc>
          <w:tcPr>
            <w:tcW w:w="1485" w:type="dxa"/>
            <w:tcBorders>
              <w:top w:val="single" w:color="auto" w:sz="4" w:space="0"/>
              <w:left w:val="single" w:color="auto" w:sz="4" w:space="0"/>
              <w:bottom w:val="single" w:color="auto" w:sz="4" w:space="0"/>
              <w:right w:val="single" w:color="auto" w:sz="4" w:space="0"/>
            </w:tcBorders>
            <w:noWrap/>
          </w:tcPr>
          <w:p w14:paraId="573E953E">
            <w:pPr>
              <w:spacing w:line="420" w:lineRule="exact"/>
              <w:rPr>
                <w:rFonts w:ascii="宋体" w:hAnsi="宋体" w:cs="宋体"/>
                <w:color w:val="000000"/>
                <w:sz w:val="24"/>
              </w:rPr>
            </w:pPr>
            <w:r>
              <w:rPr>
                <w:rFonts w:hint="eastAsia" w:ascii="宋体" w:hAnsi="宋体" w:cs="宋体"/>
                <w:color w:val="000000"/>
                <w:sz w:val="24"/>
              </w:rPr>
              <w:t>1.25-1.75t</w:t>
            </w:r>
          </w:p>
        </w:tc>
        <w:tc>
          <w:tcPr>
            <w:tcW w:w="945" w:type="dxa"/>
            <w:tcBorders>
              <w:top w:val="single" w:color="auto" w:sz="4" w:space="0"/>
              <w:left w:val="single" w:color="auto" w:sz="4" w:space="0"/>
              <w:bottom w:val="single" w:color="auto" w:sz="4" w:space="0"/>
              <w:right w:val="single" w:color="auto" w:sz="4" w:space="0"/>
            </w:tcBorders>
            <w:noWrap/>
          </w:tcPr>
          <w:p w14:paraId="763C5022">
            <w:pPr>
              <w:rPr>
                <w:rFonts w:ascii="宋体" w:hAnsi="宋体" w:cs="宋体"/>
                <w:sz w:val="24"/>
              </w:rPr>
            </w:pPr>
            <w:r>
              <w:rPr>
                <w:rFonts w:hint="eastAsia" w:ascii="宋体" w:hAnsi="宋体" w:cs="宋体"/>
                <w:color w:val="000000"/>
                <w:sz w:val="24"/>
              </w:rPr>
              <w:t>台</w:t>
            </w:r>
          </w:p>
        </w:tc>
        <w:tc>
          <w:tcPr>
            <w:tcW w:w="1680" w:type="dxa"/>
            <w:tcBorders>
              <w:top w:val="single" w:color="auto" w:sz="4" w:space="0"/>
              <w:left w:val="single" w:color="auto" w:sz="4" w:space="0"/>
              <w:bottom w:val="single" w:color="auto" w:sz="4" w:space="0"/>
              <w:right w:val="single" w:color="auto" w:sz="4" w:space="0"/>
            </w:tcBorders>
            <w:noWrap/>
          </w:tcPr>
          <w:p w14:paraId="1D22FDBA">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10B2132F">
            <w:pPr>
              <w:spacing w:line="420" w:lineRule="exact"/>
              <w:rPr>
                <w:rFonts w:ascii="宋体" w:hAnsi="宋体" w:cs="宋体"/>
                <w:color w:val="000000"/>
                <w:sz w:val="24"/>
              </w:rPr>
            </w:pPr>
          </w:p>
        </w:tc>
      </w:tr>
      <w:tr w14:paraId="06A637D9">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76467E4D">
            <w:pPr>
              <w:spacing w:line="420" w:lineRule="exact"/>
              <w:rPr>
                <w:rFonts w:ascii="宋体" w:hAnsi="宋体" w:cs="宋体"/>
                <w:color w:val="000000"/>
                <w:sz w:val="24"/>
              </w:rPr>
            </w:pPr>
            <w:r>
              <w:rPr>
                <w:rFonts w:hint="eastAsia" w:ascii="宋体" w:hAnsi="宋体" w:cs="宋体"/>
                <w:color w:val="000000"/>
                <w:sz w:val="24"/>
              </w:rPr>
              <w:t>4</w:t>
            </w:r>
          </w:p>
        </w:tc>
        <w:tc>
          <w:tcPr>
            <w:tcW w:w="2130" w:type="dxa"/>
            <w:tcBorders>
              <w:top w:val="single" w:color="auto" w:sz="4" w:space="0"/>
              <w:left w:val="single" w:color="auto" w:sz="4" w:space="0"/>
              <w:bottom w:val="single" w:color="auto" w:sz="4" w:space="0"/>
              <w:right w:val="single" w:color="auto" w:sz="4" w:space="0"/>
            </w:tcBorders>
            <w:noWrap/>
          </w:tcPr>
          <w:p w14:paraId="7D7C820E">
            <w:pPr>
              <w:spacing w:line="420" w:lineRule="exact"/>
              <w:rPr>
                <w:rFonts w:ascii="宋体" w:hAnsi="宋体" w:cs="宋体"/>
                <w:color w:val="000000"/>
                <w:sz w:val="24"/>
              </w:rPr>
            </w:pPr>
            <w:r>
              <w:rPr>
                <w:rFonts w:hint="eastAsia" w:ascii="宋体" w:hAnsi="宋体" w:cs="宋体"/>
                <w:color w:val="000000"/>
                <w:sz w:val="24"/>
              </w:rPr>
              <w:t>洒水车</w:t>
            </w:r>
          </w:p>
        </w:tc>
        <w:tc>
          <w:tcPr>
            <w:tcW w:w="1485" w:type="dxa"/>
            <w:tcBorders>
              <w:top w:val="single" w:color="auto" w:sz="4" w:space="0"/>
              <w:left w:val="single" w:color="auto" w:sz="4" w:space="0"/>
              <w:bottom w:val="single" w:color="auto" w:sz="4" w:space="0"/>
              <w:right w:val="single" w:color="auto" w:sz="4" w:space="0"/>
            </w:tcBorders>
            <w:noWrap/>
          </w:tcPr>
          <w:p w14:paraId="2EDF308C">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79D909F6">
            <w:pPr>
              <w:rPr>
                <w:rFonts w:ascii="宋体" w:hAnsi="宋体" w:cs="宋体"/>
                <w:sz w:val="24"/>
              </w:rPr>
            </w:pPr>
            <w:r>
              <w:rPr>
                <w:rFonts w:hint="eastAsia" w:ascii="宋体" w:hAnsi="宋体" w:cs="宋体"/>
                <w:sz w:val="24"/>
              </w:rPr>
              <w:t>辆</w:t>
            </w:r>
          </w:p>
        </w:tc>
        <w:tc>
          <w:tcPr>
            <w:tcW w:w="1680" w:type="dxa"/>
            <w:tcBorders>
              <w:top w:val="single" w:color="auto" w:sz="4" w:space="0"/>
              <w:left w:val="single" w:color="auto" w:sz="4" w:space="0"/>
              <w:bottom w:val="single" w:color="auto" w:sz="4" w:space="0"/>
              <w:right w:val="single" w:color="auto" w:sz="4" w:space="0"/>
            </w:tcBorders>
            <w:noWrap/>
          </w:tcPr>
          <w:p w14:paraId="196735AF">
            <w:pPr>
              <w:spacing w:line="420" w:lineRule="exact"/>
              <w:rPr>
                <w:rFonts w:ascii="宋体" w:hAnsi="宋体" w:cs="宋体"/>
                <w:color w:val="000000"/>
                <w:sz w:val="24"/>
              </w:rPr>
            </w:pPr>
            <w:r>
              <w:rPr>
                <w:rFonts w:hint="eastAsia" w:ascii="宋体" w:hAnsi="宋体" w:cs="宋体"/>
                <w:color w:val="000000"/>
                <w:sz w:val="24"/>
              </w:rPr>
              <w:t>1</w:t>
            </w:r>
          </w:p>
        </w:tc>
        <w:tc>
          <w:tcPr>
            <w:tcW w:w="825" w:type="dxa"/>
            <w:tcBorders>
              <w:top w:val="single" w:color="auto" w:sz="4" w:space="0"/>
              <w:left w:val="single" w:color="auto" w:sz="4" w:space="0"/>
              <w:bottom w:val="single" w:color="auto" w:sz="4" w:space="0"/>
              <w:right w:val="single" w:color="auto" w:sz="4" w:space="0"/>
            </w:tcBorders>
            <w:noWrap/>
          </w:tcPr>
          <w:p w14:paraId="261F1E7D">
            <w:pPr>
              <w:spacing w:line="420" w:lineRule="exact"/>
              <w:rPr>
                <w:rFonts w:ascii="宋体" w:hAnsi="宋体" w:cs="宋体"/>
                <w:color w:val="000000"/>
                <w:sz w:val="24"/>
              </w:rPr>
            </w:pPr>
          </w:p>
        </w:tc>
      </w:tr>
      <w:tr w14:paraId="45E022C6">
        <w:tblPrEx>
          <w:tblCellMar>
            <w:top w:w="0" w:type="dxa"/>
            <w:left w:w="108" w:type="dxa"/>
            <w:bottom w:w="0" w:type="dxa"/>
            <w:right w:w="108" w:type="dxa"/>
          </w:tblCellMar>
        </w:tblPrEx>
        <w:trPr>
          <w:trHeight w:val="444" w:hRule="atLeast"/>
        </w:trPr>
        <w:tc>
          <w:tcPr>
            <w:tcW w:w="780" w:type="dxa"/>
            <w:tcBorders>
              <w:top w:val="single" w:color="auto" w:sz="4" w:space="0"/>
              <w:left w:val="single" w:color="auto" w:sz="4" w:space="0"/>
              <w:bottom w:val="single" w:color="auto" w:sz="4" w:space="0"/>
              <w:right w:val="single" w:color="auto" w:sz="4" w:space="0"/>
            </w:tcBorders>
            <w:noWrap/>
          </w:tcPr>
          <w:p w14:paraId="6DCEC2FA">
            <w:pPr>
              <w:spacing w:line="420" w:lineRule="exact"/>
              <w:rPr>
                <w:rFonts w:ascii="宋体" w:hAnsi="宋体" w:cs="宋体"/>
                <w:color w:val="000000"/>
                <w:sz w:val="24"/>
              </w:rPr>
            </w:pPr>
            <w:r>
              <w:rPr>
                <w:rFonts w:hint="eastAsia" w:ascii="宋体" w:hAnsi="宋体" w:cs="宋体"/>
                <w:color w:val="000000"/>
                <w:sz w:val="24"/>
              </w:rPr>
              <w:t>5</w:t>
            </w:r>
          </w:p>
        </w:tc>
        <w:tc>
          <w:tcPr>
            <w:tcW w:w="2130" w:type="dxa"/>
            <w:tcBorders>
              <w:top w:val="single" w:color="auto" w:sz="4" w:space="0"/>
              <w:left w:val="single" w:color="auto" w:sz="4" w:space="0"/>
              <w:bottom w:val="single" w:color="auto" w:sz="4" w:space="0"/>
              <w:right w:val="single" w:color="auto" w:sz="4" w:space="0"/>
            </w:tcBorders>
            <w:noWrap/>
          </w:tcPr>
          <w:p w14:paraId="249AC0C4">
            <w:pPr>
              <w:spacing w:line="420" w:lineRule="exact"/>
              <w:rPr>
                <w:rFonts w:ascii="宋体" w:hAnsi="宋体" w:cs="宋体"/>
                <w:color w:val="000000"/>
                <w:sz w:val="24"/>
              </w:rPr>
            </w:pPr>
            <w:r>
              <w:rPr>
                <w:rFonts w:hint="eastAsia" w:ascii="宋体" w:hAnsi="宋体" w:cs="宋体"/>
                <w:color w:val="000000"/>
                <w:sz w:val="24"/>
              </w:rPr>
              <w:t>布控牌（10面/套）</w:t>
            </w:r>
          </w:p>
        </w:tc>
        <w:tc>
          <w:tcPr>
            <w:tcW w:w="1485" w:type="dxa"/>
            <w:tcBorders>
              <w:top w:val="single" w:color="auto" w:sz="4" w:space="0"/>
              <w:left w:val="single" w:color="auto" w:sz="4" w:space="0"/>
              <w:bottom w:val="single" w:color="auto" w:sz="4" w:space="0"/>
              <w:right w:val="single" w:color="auto" w:sz="4" w:space="0"/>
            </w:tcBorders>
            <w:noWrap/>
          </w:tcPr>
          <w:p w14:paraId="49C9A803">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0C6272ED">
            <w:pPr>
              <w:spacing w:line="420" w:lineRule="exact"/>
              <w:rPr>
                <w:rFonts w:ascii="宋体" w:hAnsi="宋体" w:cs="宋体"/>
                <w:color w:val="000000"/>
                <w:sz w:val="24"/>
              </w:rPr>
            </w:pPr>
            <w:r>
              <w:rPr>
                <w:rFonts w:hint="eastAsia" w:ascii="宋体" w:hAnsi="宋体" w:cs="宋体"/>
                <w:color w:val="000000"/>
                <w:sz w:val="24"/>
              </w:rPr>
              <w:t>套</w:t>
            </w:r>
          </w:p>
        </w:tc>
        <w:tc>
          <w:tcPr>
            <w:tcW w:w="1680" w:type="dxa"/>
            <w:tcBorders>
              <w:top w:val="single" w:color="auto" w:sz="4" w:space="0"/>
              <w:left w:val="single" w:color="auto" w:sz="4" w:space="0"/>
              <w:bottom w:val="single" w:color="auto" w:sz="4" w:space="0"/>
              <w:right w:val="single" w:color="auto" w:sz="4" w:space="0"/>
            </w:tcBorders>
            <w:noWrap/>
          </w:tcPr>
          <w:p w14:paraId="72F99815">
            <w:pPr>
              <w:spacing w:line="420" w:lineRule="exact"/>
              <w:rPr>
                <w:rFonts w:ascii="宋体" w:hAnsi="宋体" w:cs="宋体"/>
                <w:color w:val="000000"/>
                <w:sz w:val="24"/>
              </w:rPr>
            </w:pPr>
            <w:r>
              <w:rPr>
                <w:rFonts w:hint="eastAsia" w:ascii="宋体" w:hAnsi="宋体" w:cs="宋体"/>
                <w:color w:val="000000"/>
                <w:sz w:val="24"/>
              </w:rPr>
              <w:t>2</w:t>
            </w:r>
          </w:p>
        </w:tc>
        <w:tc>
          <w:tcPr>
            <w:tcW w:w="825" w:type="dxa"/>
            <w:tcBorders>
              <w:top w:val="single" w:color="auto" w:sz="4" w:space="0"/>
              <w:left w:val="single" w:color="auto" w:sz="4" w:space="0"/>
              <w:bottom w:val="single" w:color="auto" w:sz="4" w:space="0"/>
              <w:right w:val="single" w:color="auto" w:sz="4" w:space="0"/>
            </w:tcBorders>
            <w:noWrap/>
          </w:tcPr>
          <w:p w14:paraId="101CABC1">
            <w:pPr>
              <w:spacing w:line="420" w:lineRule="exact"/>
              <w:rPr>
                <w:rFonts w:ascii="宋体" w:hAnsi="宋体" w:cs="宋体"/>
                <w:color w:val="000000"/>
                <w:sz w:val="24"/>
              </w:rPr>
            </w:pPr>
          </w:p>
        </w:tc>
      </w:tr>
      <w:tr w14:paraId="64D7D973">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14:paraId="4AB62E4D">
            <w:pPr>
              <w:spacing w:line="420" w:lineRule="exact"/>
              <w:rPr>
                <w:rFonts w:ascii="宋体" w:hAnsi="宋体" w:cs="宋体"/>
                <w:color w:val="000000"/>
                <w:sz w:val="24"/>
              </w:rPr>
            </w:pPr>
            <w:r>
              <w:rPr>
                <w:rFonts w:hint="eastAsia" w:ascii="宋体" w:hAnsi="宋体" w:cs="宋体"/>
                <w:color w:val="000000"/>
                <w:sz w:val="24"/>
              </w:rPr>
              <w:t>6</w:t>
            </w:r>
          </w:p>
        </w:tc>
        <w:tc>
          <w:tcPr>
            <w:tcW w:w="2130" w:type="dxa"/>
            <w:tcBorders>
              <w:top w:val="single" w:color="auto" w:sz="4" w:space="0"/>
              <w:left w:val="single" w:color="auto" w:sz="4" w:space="0"/>
              <w:bottom w:val="single" w:color="auto" w:sz="4" w:space="0"/>
              <w:right w:val="single" w:color="auto" w:sz="4" w:space="0"/>
            </w:tcBorders>
            <w:noWrap/>
          </w:tcPr>
          <w:p w14:paraId="0AB584CD">
            <w:pPr>
              <w:spacing w:line="420" w:lineRule="exact"/>
              <w:rPr>
                <w:rFonts w:ascii="宋体" w:hAnsi="宋体" w:cs="宋体"/>
                <w:color w:val="000000"/>
                <w:sz w:val="24"/>
              </w:rPr>
            </w:pPr>
            <w:r>
              <w:rPr>
                <w:rFonts w:hint="eastAsia" w:ascii="宋体" w:hAnsi="宋体" w:cs="宋体"/>
                <w:color w:val="000000"/>
                <w:sz w:val="24"/>
              </w:rPr>
              <w:t>锥标</w:t>
            </w:r>
          </w:p>
        </w:tc>
        <w:tc>
          <w:tcPr>
            <w:tcW w:w="1485" w:type="dxa"/>
            <w:tcBorders>
              <w:top w:val="single" w:color="auto" w:sz="4" w:space="0"/>
              <w:left w:val="single" w:color="auto" w:sz="4" w:space="0"/>
              <w:bottom w:val="single" w:color="auto" w:sz="4" w:space="0"/>
              <w:right w:val="single" w:color="auto" w:sz="4" w:space="0"/>
            </w:tcBorders>
            <w:noWrap/>
          </w:tcPr>
          <w:p w14:paraId="1636503B">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5835D4FB">
            <w:pPr>
              <w:spacing w:line="420" w:lineRule="exact"/>
              <w:rPr>
                <w:rFonts w:ascii="宋体" w:hAnsi="宋体" w:cs="宋体"/>
                <w:color w:val="000000"/>
                <w:sz w:val="24"/>
              </w:rPr>
            </w:pPr>
            <w:r>
              <w:rPr>
                <w:rFonts w:hint="eastAsia" w:ascii="宋体" w:hAnsi="宋体" w:cs="宋体"/>
                <w:color w:val="000000"/>
                <w:sz w:val="24"/>
              </w:rPr>
              <w:t>个</w:t>
            </w:r>
          </w:p>
        </w:tc>
        <w:tc>
          <w:tcPr>
            <w:tcW w:w="1680" w:type="dxa"/>
            <w:tcBorders>
              <w:top w:val="single" w:color="auto" w:sz="4" w:space="0"/>
              <w:left w:val="single" w:color="auto" w:sz="4" w:space="0"/>
              <w:bottom w:val="single" w:color="auto" w:sz="4" w:space="0"/>
              <w:right w:val="single" w:color="auto" w:sz="4" w:space="0"/>
            </w:tcBorders>
            <w:noWrap/>
          </w:tcPr>
          <w:p w14:paraId="032203A4">
            <w:pPr>
              <w:spacing w:line="420" w:lineRule="exact"/>
              <w:rPr>
                <w:rFonts w:ascii="宋体" w:hAnsi="宋体" w:cs="宋体"/>
                <w:color w:val="000000"/>
                <w:sz w:val="24"/>
              </w:rPr>
            </w:pPr>
            <w:r>
              <w:rPr>
                <w:rFonts w:hint="eastAsia" w:ascii="宋体" w:hAnsi="宋体" w:cs="宋体"/>
                <w:color w:val="000000"/>
                <w:sz w:val="24"/>
              </w:rPr>
              <w:t>400</w:t>
            </w:r>
          </w:p>
        </w:tc>
        <w:tc>
          <w:tcPr>
            <w:tcW w:w="825" w:type="dxa"/>
            <w:tcBorders>
              <w:top w:val="single" w:color="auto" w:sz="4" w:space="0"/>
              <w:left w:val="single" w:color="auto" w:sz="4" w:space="0"/>
              <w:bottom w:val="single" w:color="auto" w:sz="4" w:space="0"/>
              <w:right w:val="single" w:color="auto" w:sz="4" w:space="0"/>
            </w:tcBorders>
            <w:noWrap/>
          </w:tcPr>
          <w:p w14:paraId="376040AC">
            <w:pPr>
              <w:spacing w:line="420" w:lineRule="exact"/>
              <w:rPr>
                <w:rFonts w:ascii="宋体" w:hAnsi="宋体" w:cs="宋体"/>
                <w:color w:val="000000"/>
                <w:sz w:val="24"/>
              </w:rPr>
            </w:pPr>
          </w:p>
        </w:tc>
      </w:tr>
      <w:tr w14:paraId="6C2DDAF0">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14:paraId="29A9837F">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7</w:t>
            </w:r>
          </w:p>
        </w:tc>
        <w:tc>
          <w:tcPr>
            <w:tcW w:w="2130" w:type="dxa"/>
            <w:tcBorders>
              <w:top w:val="single" w:color="auto" w:sz="4" w:space="0"/>
              <w:left w:val="single" w:color="auto" w:sz="4" w:space="0"/>
              <w:bottom w:val="single" w:color="auto" w:sz="4" w:space="0"/>
              <w:right w:val="single" w:color="auto" w:sz="4" w:space="0"/>
            </w:tcBorders>
            <w:noWrap/>
          </w:tcPr>
          <w:p w14:paraId="26E1A652">
            <w:pPr>
              <w:spacing w:line="420" w:lineRule="exact"/>
              <w:rPr>
                <w:rFonts w:hint="default" w:ascii="宋体" w:hAnsi="宋体" w:eastAsia="宋体" w:cs="宋体"/>
                <w:color w:val="000000"/>
                <w:sz w:val="24"/>
                <w:lang w:val="en-US" w:eastAsia="zh-CN"/>
              </w:rPr>
            </w:pPr>
            <w:r>
              <w:rPr>
                <w:rFonts w:hint="eastAsia" w:ascii="宋体" w:hAnsi="宋体" w:cs="宋体"/>
                <w:color w:val="000000"/>
                <w:sz w:val="24"/>
                <w:lang w:val="en-US" w:eastAsia="zh-CN"/>
              </w:rPr>
              <w:t>假人</w:t>
            </w:r>
          </w:p>
        </w:tc>
        <w:tc>
          <w:tcPr>
            <w:tcW w:w="1485" w:type="dxa"/>
            <w:tcBorders>
              <w:top w:val="single" w:color="auto" w:sz="4" w:space="0"/>
              <w:left w:val="single" w:color="auto" w:sz="4" w:space="0"/>
              <w:bottom w:val="single" w:color="auto" w:sz="4" w:space="0"/>
              <w:right w:val="single" w:color="auto" w:sz="4" w:space="0"/>
            </w:tcBorders>
            <w:noWrap/>
          </w:tcPr>
          <w:p w14:paraId="041964FF">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3ACC72C1">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个</w:t>
            </w:r>
          </w:p>
        </w:tc>
        <w:tc>
          <w:tcPr>
            <w:tcW w:w="1680" w:type="dxa"/>
            <w:tcBorders>
              <w:top w:val="single" w:color="auto" w:sz="4" w:space="0"/>
              <w:left w:val="single" w:color="auto" w:sz="4" w:space="0"/>
              <w:bottom w:val="single" w:color="auto" w:sz="4" w:space="0"/>
              <w:right w:val="single" w:color="auto" w:sz="4" w:space="0"/>
            </w:tcBorders>
            <w:noWrap/>
          </w:tcPr>
          <w:p w14:paraId="3DB1A729">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tcPr>
          <w:p w14:paraId="19F6D325">
            <w:pPr>
              <w:spacing w:line="420" w:lineRule="exact"/>
              <w:rPr>
                <w:rFonts w:ascii="宋体" w:hAnsi="宋体" w:cs="宋体"/>
                <w:color w:val="000000"/>
                <w:sz w:val="24"/>
              </w:rPr>
            </w:pPr>
          </w:p>
        </w:tc>
      </w:tr>
      <w:tr w14:paraId="537E5377">
        <w:tblPrEx>
          <w:tblCellMar>
            <w:top w:w="0" w:type="dxa"/>
            <w:left w:w="108" w:type="dxa"/>
            <w:bottom w:w="0" w:type="dxa"/>
            <w:right w:w="108" w:type="dxa"/>
          </w:tblCellMar>
        </w:tblPrEx>
        <w:trPr>
          <w:trHeight w:val="454" w:hRule="atLeast"/>
        </w:trPr>
        <w:tc>
          <w:tcPr>
            <w:tcW w:w="780" w:type="dxa"/>
            <w:tcBorders>
              <w:top w:val="single" w:color="auto" w:sz="4" w:space="0"/>
              <w:left w:val="single" w:color="auto" w:sz="4" w:space="0"/>
              <w:bottom w:val="single" w:color="auto" w:sz="4" w:space="0"/>
              <w:right w:val="single" w:color="auto" w:sz="4" w:space="0"/>
            </w:tcBorders>
            <w:noWrap/>
          </w:tcPr>
          <w:p w14:paraId="2FCA38F0">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8</w:t>
            </w:r>
          </w:p>
        </w:tc>
        <w:tc>
          <w:tcPr>
            <w:tcW w:w="2130" w:type="dxa"/>
            <w:tcBorders>
              <w:top w:val="single" w:color="auto" w:sz="4" w:space="0"/>
              <w:left w:val="single" w:color="auto" w:sz="4" w:space="0"/>
              <w:bottom w:val="single" w:color="auto" w:sz="4" w:space="0"/>
              <w:right w:val="single" w:color="auto" w:sz="4" w:space="0"/>
            </w:tcBorders>
            <w:noWrap/>
          </w:tcPr>
          <w:p w14:paraId="38EBACA2">
            <w:pPr>
              <w:spacing w:line="420" w:lineRule="exact"/>
              <w:rPr>
                <w:rFonts w:hint="eastAsia" w:ascii="宋体" w:hAnsi="宋体" w:eastAsia="宋体" w:cs="宋体"/>
                <w:color w:val="000000"/>
                <w:sz w:val="24"/>
                <w:lang w:eastAsia="zh-CN"/>
              </w:rPr>
            </w:pPr>
            <w:r>
              <w:rPr>
                <w:rFonts w:hint="eastAsia" w:ascii="宋体" w:hAnsi="宋体" w:cs="宋体"/>
                <w:color w:val="000000"/>
                <w:sz w:val="24"/>
                <w:lang w:eastAsia="zh-CN"/>
              </w:rPr>
              <w:t>声光锥</w:t>
            </w:r>
          </w:p>
        </w:tc>
        <w:tc>
          <w:tcPr>
            <w:tcW w:w="1485" w:type="dxa"/>
            <w:tcBorders>
              <w:top w:val="single" w:color="auto" w:sz="4" w:space="0"/>
              <w:left w:val="single" w:color="auto" w:sz="4" w:space="0"/>
              <w:bottom w:val="single" w:color="auto" w:sz="4" w:space="0"/>
              <w:right w:val="single" w:color="auto" w:sz="4" w:space="0"/>
            </w:tcBorders>
            <w:noWrap/>
          </w:tcPr>
          <w:p w14:paraId="7AC28686">
            <w:pPr>
              <w:spacing w:line="420" w:lineRule="exact"/>
              <w:rPr>
                <w:rFonts w:ascii="宋体" w:hAnsi="宋体" w:cs="宋体"/>
                <w:color w:val="000000"/>
                <w:sz w:val="24"/>
              </w:rPr>
            </w:pPr>
          </w:p>
        </w:tc>
        <w:tc>
          <w:tcPr>
            <w:tcW w:w="945" w:type="dxa"/>
            <w:tcBorders>
              <w:top w:val="single" w:color="auto" w:sz="4" w:space="0"/>
              <w:left w:val="single" w:color="auto" w:sz="4" w:space="0"/>
              <w:bottom w:val="single" w:color="auto" w:sz="4" w:space="0"/>
              <w:right w:val="single" w:color="auto" w:sz="4" w:space="0"/>
            </w:tcBorders>
            <w:noWrap/>
          </w:tcPr>
          <w:p w14:paraId="080875DD">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个</w:t>
            </w:r>
          </w:p>
        </w:tc>
        <w:tc>
          <w:tcPr>
            <w:tcW w:w="1680" w:type="dxa"/>
            <w:tcBorders>
              <w:top w:val="single" w:color="auto" w:sz="4" w:space="0"/>
              <w:left w:val="single" w:color="auto" w:sz="4" w:space="0"/>
              <w:bottom w:val="single" w:color="auto" w:sz="4" w:space="0"/>
              <w:right w:val="single" w:color="auto" w:sz="4" w:space="0"/>
            </w:tcBorders>
            <w:noWrap/>
          </w:tcPr>
          <w:p w14:paraId="68BDB689">
            <w:pPr>
              <w:spacing w:line="420" w:lineRule="exact"/>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tcPr>
          <w:p w14:paraId="467A3B8A">
            <w:pPr>
              <w:spacing w:line="420" w:lineRule="exact"/>
              <w:rPr>
                <w:rFonts w:ascii="宋体" w:hAnsi="宋体" w:cs="宋体"/>
                <w:color w:val="000000"/>
                <w:sz w:val="24"/>
              </w:rPr>
            </w:pPr>
          </w:p>
        </w:tc>
      </w:tr>
    </w:tbl>
    <w:p w14:paraId="6AC80D2D">
      <w:pPr>
        <w:spacing w:line="360" w:lineRule="auto"/>
        <w:rPr>
          <w:rFonts w:hint="eastAsia" w:ascii="宋体" w:hAnsi="宋体" w:cs="宋体"/>
          <w:b/>
          <w:bCs/>
          <w:sz w:val="24"/>
        </w:rPr>
      </w:pPr>
    </w:p>
    <w:p w14:paraId="4ABC8B96">
      <w:pPr>
        <w:spacing w:line="360" w:lineRule="auto"/>
        <w:rPr>
          <w:b/>
          <w:bCs/>
        </w:rPr>
      </w:pPr>
      <w:r>
        <w:rPr>
          <w:rFonts w:hint="eastAsia" w:ascii="宋体" w:hAnsi="宋体" w:cs="宋体"/>
          <w:b/>
          <w:bCs/>
          <w:sz w:val="24"/>
        </w:rPr>
        <w:t>注：投标人应根据工程实际</w:t>
      </w:r>
      <w:r>
        <w:rPr>
          <w:rFonts w:ascii="宋体" w:hAnsi="宋体" w:cs="宋体"/>
          <w:b/>
          <w:bCs/>
          <w:sz w:val="24"/>
        </w:rPr>
        <w:t>,在本表中列明具体的数量及规格要求，本表不作为资格审查条件，投标人无需提供上</w:t>
      </w:r>
      <w:r>
        <w:rPr>
          <w:rFonts w:hint="eastAsia" w:ascii="宋体" w:hAnsi="宋体" w:cs="宋体"/>
          <w:b/>
          <w:bCs/>
          <w:sz w:val="24"/>
        </w:rPr>
        <w:t>述人员机械设备详细清单，也无需在投标文件中提交本表格；但投标人必须承诺中标后应按本表最低要求的数量和规格投入人员及机械设备。</w:t>
      </w:r>
    </w:p>
    <w:p w14:paraId="063FF38C">
      <w:pPr>
        <w:numPr>
          <w:ilvl w:val="0"/>
          <w:numId w:val="1"/>
        </w:numPr>
        <w:spacing w:line="580"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选择方法：</w:t>
      </w:r>
      <w:r>
        <w:rPr>
          <w:rFonts w:hint="eastAsia" w:ascii="黑体" w:hAnsi="黑体" w:eastAsia="黑体" w:cs="黑体"/>
          <w:color w:val="000000" w:themeColor="text1"/>
          <w:sz w:val="32"/>
          <w:szCs w:val="32"/>
          <w:lang w:val="en-US" w:eastAsia="zh-CN"/>
          <w14:textFill>
            <w14:solidFill>
              <w14:schemeClr w14:val="tx1"/>
            </w14:solidFill>
          </w14:textFill>
        </w:rPr>
        <w:t>等概率</w:t>
      </w:r>
      <w:r>
        <w:rPr>
          <w:rFonts w:hint="eastAsia" w:ascii="黑体" w:hAnsi="黑体" w:eastAsia="黑体" w:cs="黑体"/>
          <w:color w:val="000000" w:themeColor="text1"/>
          <w:sz w:val="32"/>
          <w:szCs w:val="32"/>
          <w14:textFill>
            <w14:solidFill>
              <w14:schemeClr w14:val="tx1"/>
            </w14:solidFill>
          </w14:textFill>
        </w:rPr>
        <w:t>摇球法</w:t>
      </w:r>
    </w:p>
    <w:p w14:paraId="2D6C7E7C">
      <w:pPr>
        <w:spacing w:line="580" w:lineRule="exact"/>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四、报名和选择文件的获取</w:t>
      </w:r>
    </w:p>
    <w:p w14:paraId="364BCD09">
      <w:pPr>
        <w:spacing w:line="58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凡有意参加选择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者，请于2025年 12月22日至2025年12月25日汇款至南平市高建养护工程有限公司账户(费用缴纳银行账号与承诺保证金银行账号相同，企业账户一次性汇出（以到账时间为准，汇出账户名称与企业名称应一致），用途请注明“2026-2028年沙南高速日常养护班组选择文件费”）购买选择文件，并将购买选择文件的转账凭证及开票信息发送至邮箱：584374049@qq.com获取选择文件。</w:t>
      </w:r>
    </w:p>
    <w:p w14:paraId="38A465AD">
      <w:pPr>
        <w:spacing w:line="58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4.2每份文件售价300元，售后不退，不接受其他方式购买选择文件（如现场、电话）。</w:t>
      </w:r>
    </w:p>
    <w:p w14:paraId="4C93263C">
      <w:pPr>
        <w:spacing w:line="4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购买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文件</w:t>
      </w:r>
      <w:r>
        <w:rPr>
          <w:rFonts w:hint="eastAsia" w:ascii="仿宋_GB2312" w:hAnsi="仿宋_GB2312" w:eastAsia="仿宋_GB2312" w:cs="仿宋_GB2312"/>
          <w:color w:val="000000" w:themeColor="text1"/>
          <w:sz w:val="32"/>
          <w:szCs w:val="32"/>
          <w14:textFill>
            <w14:solidFill>
              <w14:schemeClr w14:val="tx1"/>
            </w14:solidFill>
          </w14:textFill>
        </w:rPr>
        <w:t>银行帐户信息：</w:t>
      </w:r>
    </w:p>
    <w:p w14:paraId="75EFE066">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14:paraId="59A879B7">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14:paraId="1A918674">
      <w:pPr>
        <w:tabs>
          <w:tab w:val="left" w:pos="1134"/>
        </w:tabs>
        <w:spacing w:line="520" w:lineRule="exact"/>
        <w:ind w:left="426" w:firstLine="960" w:firstLine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帐</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14:paraId="333F92CB">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五、承诺文件的递交</w:t>
      </w:r>
    </w:p>
    <w:p w14:paraId="0E90001E">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承诺文件递交的截止时间为：</w:t>
      </w:r>
      <w:r>
        <w:rPr>
          <w:rFonts w:ascii="仿宋_GB2312" w:hAnsi="仿宋_GB2312" w:eastAsia="仿宋_GB2312" w:cs="仿宋_GB2312"/>
          <w:color w:val="FF0000"/>
          <w:sz w:val="32"/>
          <w:szCs w:val="32"/>
        </w:rPr>
        <w:t>20</w:t>
      </w:r>
      <w:r>
        <w:rPr>
          <w:rFonts w:hint="eastAsia" w:ascii="仿宋_GB2312" w:hAnsi="仿宋_GB2312" w:eastAsia="仿宋_GB2312" w:cs="仿宋_GB2312"/>
          <w:color w:val="FF0000"/>
          <w:sz w:val="32"/>
          <w:szCs w:val="32"/>
        </w:rPr>
        <w:t>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年1</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26</w:t>
      </w:r>
      <w:r>
        <w:rPr>
          <w:rFonts w:hint="eastAsia" w:ascii="仿宋_GB2312" w:hAnsi="仿宋_GB2312" w:eastAsia="仿宋_GB2312" w:cs="仿宋_GB2312"/>
          <w:color w:val="FF0000"/>
          <w:sz w:val="32"/>
          <w:szCs w:val="32"/>
        </w:rPr>
        <w:t>日上午</w:t>
      </w:r>
      <w:r>
        <w:rPr>
          <w:rFonts w:ascii="仿宋_GB2312" w:hAnsi="仿宋_GB2312" w:eastAsia="仿宋_GB2312" w:cs="仿宋_GB2312"/>
          <w:color w:val="FF0000"/>
          <w:sz w:val="32"/>
          <w:szCs w:val="32"/>
        </w:rPr>
        <w:t>9:00</w:t>
      </w:r>
      <w:r>
        <w:rPr>
          <w:rFonts w:hint="eastAsia" w:ascii="仿宋_GB2312" w:hAnsi="仿宋_GB2312" w:eastAsia="仿宋_GB2312" w:cs="仿宋_GB2312"/>
          <w:color w:val="000000" w:themeColor="text1"/>
          <w:sz w:val="32"/>
          <w:szCs w:val="32"/>
          <w14:textFill>
            <w14:solidFill>
              <w14:schemeClr w14:val="tx1"/>
            </w14:solidFill>
          </w14:textFill>
        </w:rPr>
        <w:t>，承诺人应于</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FF0000"/>
          <w:sz w:val="32"/>
          <w:szCs w:val="32"/>
        </w:rPr>
        <w:t>20</w:t>
      </w:r>
      <w:r>
        <w:rPr>
          <w:rFonts w:hint="eastAsia" w:ascii="仿宋_GB2312" w:hAnsi="仿宋_GB2312" w:eastAsia="仿宋_GB2312" w:cs="仿宋_GB2312"/>
          <w:color w:val="FF0000"/>
          <w:sz w:val="32"/>
          <w:szCs w:val="32"/>
        </w:rPr>
        <w:t>2</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年1</w:t>
      </w:r>
      <w:r>
        <w:rPr>
          <w:rFonts w:hint="eastAsia" w:ascii="仿宋_GB2312" w:hAnsi="仿宋_GB2312" w:eastAsia="仿宋_GB2312" w:cs="仿宋_GB2312"/>
          <w:color w:val="FF0000"/>
          <w:sz w:val="32"/>
          <w:szCs w:val="32"/>
          <w:lang w:val="en-US" w:eastAsia="zh-CN"/>
        </w:rPr>
        <w:t>2</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26</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000000" w:themeColor="text1"/>
          <w:sz w:val="32"/>
          <w:szCs w:val="32"/>
          <w14:textFill>
            <w14:solidFill>
              <w14:schemeClr w14:val="tx1"/>
            </w14:solidFill>
          </w14:textFill>
        </w:rPr>
        <w:t>截止时间前将承诺文件递交至武夷山市南平高速公路运营管理中心</w:t>
      </w:r>
      <w:r>
        <w:rPr>
          <w:rFonts w:ascii="仿宋_GB2312" w:hAnsi="仿宋_GB2312" w:eastAsia="仿宋_GB2312" w:cs="仿宋_GB2312"/>
          <w:color w:val="000000" w:themeColor="text1"/>
          <w:sz w:val="32"/>
          <w:szCs w:val="32"/>
          <w14:textFill>
            <w14:solidFill>
              <w14:schemeClr w14:val="tx1"/>
            </w14:solidFill>
          </w14:textFill>
        </w:rPr>
        <w:t xml:space="preserve"> B</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栋（南平市高建养护工程有限公司二楼会议室）。逾期送达的或者未送达指定地点的承诺文件不予受理。</w:t>
      </w:r>
    </w:p>
    <w:p w14:paraId="7AA6EFAF">
      <w:pPr>
        <w:spacing w:line="58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六、承诺保证金递交</w:t>
      </w:r>
    </w:p>
    <w:p w14:paraId="0B9F7B91">
      <w:pPr>
        <w:spacing w:line="520" w:lineRule="exact"/>
        <w:ind w:left="481" w:leftChars="229" w:firstLine="160" w:firstLineChars="5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6.1承诺保证金提交金额：人民币</w:t>
      </w:r>
      <w:r>
        <w:rPr>
          <w:rFonts w:hint="eastAsia" w:ascii="仿宋_GB2312" w:hAnsi="仿宋_GB2312" w:eastAsia="仿宋_GB2312" w:cs="仿宋_GB2312"/>
          <w:bCs/>
          <w:color w:val="000000" w:themeColor="text1"/>
          <w:sz w:val="32"/>
          <w:szCs w:val="32"/>
          <w14:textFill>
            <w14:solidFill>
              <w14:schemeClr w14:val="tx1"/>
            </w14:solidFill>
          </w14:textFill>
        </w:rPr>
        <w:t>贰万元整（￥</w:t>
      </w:r>
      <w:r>
        <w:rPr>
          <w:rFonts w:ascii="仿宋_GB2312" w:hAnsi="仿宋_GB2312" w:eastAsia="仿宋_GB2312" w:cs="仿宋_GB2312"/>
          <w:bCs/>
          <w:color w:val="000000" w:themeColor="text1"/>
          <w:sz w:val="32"/>
          <w:szCs w:val="32"/>
          <w14:textFill>
            <w14:solidFill>
              <w14:schemeClr w14:val="tx1"/>
            </w14:solidFill>
          </w14:textFill>
        </w:rPr>
        <w:t>20000</w:t>
      </w:r>
    </w:p>
    <w:p w14:paraId="48393F35">
      <w:pPr>
        <w:spacing w:line="520" w:lineRule="exact"/>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元）；须在</w:t>
      </w:r>
      <w:r>
        <w:rPr>
          <w:rFonts w:ascii="仿宋_GB2312" w:hAnsi="仿宋_GB2312" w:eastAsia="仿宋_GB2312" w:cs="仿宋_GB2312"/>
          <w:bCs/>
          <w:color w:val="FF0000"/>
          <w:sz w:val="32"/>
          <w:szCs w:val="32"/>
        </w:rPr>
        <w:t>20</w:t>
      </w:r>
      <w:r>
        <w:rPr>
          <w:rFonts w:hint="eastAsia" w:ascii="仿宋_GB2312" w:hAnsi="仿宋_GB2312" w:eastAsia="仿宋_GB2312" w:cs="仿宋_GB2312"/>
          <w:bCs/>
          <w:color w:val="FF0000"/>
          <w:sz w:val="32"/>
          <w:szCs w:val="32"/>
        </w:rPr>
        <w:t>2</w:t>
      </w:r>
      <w:r>
        <w:rPr>
          <w:rFonts w:hint="eastAsia" w:ascii="仿宋_GB2312" w:hAnsi="仿宋_GB2312" w:eastAsia="仿宋_GB2312" w:cs="仿宋_GB2312"/>
          <w:bCs/>
          <w:color w:val="FF0000"/>
          <w:sz w:val="32"/>
          <w:szCs w:val="32"/>
          <w:lang w:val="en-US" w:eastAsia="zh-CN"/>
        </w:rPr>
        <w:t>5</w:t>
      </w:r>
      <w:r>
        <w:rPr>
          <w:rFonts w:hint="eastAsia" w:ascii="仿宋_GB2312" w:hAnsi="仿宋_GB2312" w:eastAsia="仿宋_GB2312" w:cs="仿宋_GB2312"/>
          <w:bCs/>
          <w:color w:val="FF0000"/>
          <w:sz w:val="32"/>
          <w:szCs w:val="32"/>
        </w:rPr>
        <w:t>年1</w:t>
      </w:r>
      <w:r>
        <w:rPr>
          <w:rFonts w:hint="eastAsia" w:ascii="仿宋_GB2312" w:hAnsi="仿宋_GB2312" w:eastAsia="仿宋_GB2312" w:cs="仿宋_GB2312"/>
          <w:bCs/>
          <w:color w:val="FF0000"/>
          <w:sz w:val="32"/>
          <w:szCs w:val="32"/>
          <w:lang w:val="en-US" w:eastAsia="zh-CN"/>
        </w:rPr>
        <w:t>2</w:t>
      </w:r>
      <w:r>
        <w:rPr>
          <w:rFonts w:hint="eastAsia" w:ascii="仿宋_GB2312" w:hAnsi="仿宋_GB2312" w:eastAsia="仿宋_GB2312" w:cs="仿宋_GB2312"/>
          <w:bCs/>
          <w:color w:val="FF0000"/>
          <w:sz w:val="32"/>
          <w:szCs w:val="32"/>
        </w:rPr>
        <w:t>月</w:t>
      </w:r>
      <w:r>
        <w:rPr>
          <w:rFonts w:hint="eastAsia" w:ascii="仿宋_GB2312" w:hAnsi="仿宋_GB2312" w:eastAsia="仿宋_GB2312" w:cs="仿宋_GB2312"/>
          <w:bCs/>
          <w:color w:val="FF0000"/>
          <w:sz w:val="32"/>
          <w:szCs w:val="32"/>
          <w:lang w:val="en-US" w:eastAsia="zh-CN"/>
        </w:rPr>
        <w:t>25</w:t>
      </w:r>
      <w:r>
        <w:rPr>
          <w:rFonts w:ascii="仿宋_GB2312" w:hAnsi="仿宋_GB2312" w:eastAsia="仿宋_GB2312" w:cs="仿宋_GB2312"/>
          <w:bCs/>
          <w:color w:val="FF0000"/>
          <w:sz w:val="32"/>
          <w:szCs w:val="32"/>
        </w:rPr>
        <w:t>日17:00时</w:t>
      </w:r>
      <w:r>
        <w:rPr>
          <w:rFonts w:ascii="仿宋_GB2312" w:hAnsi="仿宋_GB2312" w:eastAsia="仿宋_GB2312" w:cs="仿宋_GB2312"/>
          <w:bCs/>
          <w:color w:val="000000" w:themeColor="text1"/>
          <w:sz w:val="32"/>
          <w:szCs w:val="32"/>
          <w14:textFill>
            <w14:solidFill>
              <w14:schemeClr w14:val="tx1"/>
            </w14:solidFill>
          </w14:textFill>
        </w:rPr>
        <w:t>前从</w:t>
      </w:r>
      <w:r>
        <w:rPr>
          <w:rFonts w:hint="eastAsia" w:ascii="仿宋_GB2312" w:hAnsi="仿宋_GB2312" w:eastAsia="仿宋_GB2312" w:cs="仿宋_GB2312"/>
          <w:bCs/>
          <w:color w:val="000000" w:themeColor="text1"/>
          <w:sz w:val="32"/>
          <w:szCs w:val="32"/>
          <w14:textFill>
            <w14:solidFill>
              <w14:schemeClr w14:val="tx1"/>
            </w14:solidFill>
          </w14:textFill>
        </w:rPr>
        <w:t>承诺人基本帐户一次性汇达并解入选择人指定银行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账号</w:t>
      </w:r>
      <w:r>
        <w:rPr>
          <w:rFonts w:hint="eastAsia" w:ascii="仿宋_GB2312" w:hAnsi="仿宋_GB2312" w:eastAsia="仿宋_GB2312" w:cs="仿宋_GB2312"/>
          <w:bCs/>
          <w:color w:val="000000" w:themeColor="text1"/>
          <w:sz w:val="32"/>
          <w:szCs w:val="32"/>
          <w14:textFill>
            <w14:solidFill>
              <w14:schemeClr w14:val="tx1"/>
            </w14:solidFill>
          </w14:textFill>
        </w:rPr>
        <w:t>（写明用途，以到账时间为准）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14:paraId="4676960F">
      <w:pPr>
        <w:spacing w:line="52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Cs/>
          <w:color w:val="000000" w:themeColor="text1"/>
          <w:sz w:val="32"/>
          <w:szCs w:val="32"/>
          <w14:textFill>
            <w14:solidFill>
              <w14:schemeClr w14:val="tx1"/>
            </w14:solidFill>
          </w14:textFill>
        </w:rPr>
        <w:t>6.2</w:t>
      </w:r>
      <w:r>
        <w:rPr>
          <w:rFonts w:hint="eastAsia" w:ascii="仿宋_GB2312" w:hAnsi="仿宋_GB2312" w:eastAsia="仿宋_GB2312" w:cs="仿宋_GB2312"/>
          <w:bCs/>
          <w:color w:val="000000" w:themeColor="text1"/>
          <w:sz w:val="32"/>
          <w:szCs w:val="32"/>
          <w14:textFill>
            <w14:solidFill>
              <w14:schemeClr w14:val="tx1"/>
            </w14:solidFill>
          </w14:textFill>
        </w:rPr>
        <w:t>承诺保证金银行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账号</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3872ED94">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开户银行：</w:t>
      </w:r>
      <w:r>
        <w:rPr>
          <w:rFonts w:ascii="仿宋_GB2312" w:hAnsi="仿宋_GB2312" w:eastAsia="仿宋_GB2312" w:cs="仿宋_GB2312"/>
          <w:bCs/>
          <w:color w:val="000000" w:themeColor="text1"/>
          <w:sz w:val="32"/>
          <w:szCs w:val="32"/>
          <w14:textFill>
            <w14:solidFill>
              <w14:schemeClr w14:val="tx1"/>
            </w14:solidFill>
          </w14:textFill>
        </w:rPr>
        <w:t xml:space="preserve">   中国建设银行延平支行     </w:t>
      </w:r>
    </w:p>
    <w:p w14:paraId="775494BF">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开户名称：</w:t>
      </w:r>
      <w:r>
        <w:rPr>
          <w:rFonts w:ascii="仿宋_GB2312" w:hAnsi="仿宋_GB2312" w:eastAsia="仿宋_GB2312" w:cs="仿宋_GB2312"/>
          <w:bCs/>
          <w:color w:val="000000" w:themeColor="text1"/>
          <w:sz w:val="32"/>
          <w:szCs w:val="32"/>
          <w14:textFill>
            <w14:solidFill>
              <w14:schemeClr w14:val="tx1"/>
            </w14:solidFill>
          </w14:textFill>
        </w:rPr>
        <w:t xml:space="preserve">   南平市高建养护工程有限公司     </w:t>
      </w:r>
    </w:p>
    <w:p w14:paraId="543CC6BB">
      <w:pPr>
        <w:spacing w:line="520" w:lineRule="exact"/>
        <w:ind w:left="1275" w:leftChars="607"/>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账</w:t>
      </w:r>
      <w:r>
        <w:rPr>
          <w:rFonts w:ascii="仿宋_GB2312" w:hAnsi="仿宋_GB2312" w:eastAsia="仿宋_GB2312" w:cs="仿宋_GB2312"/>
          <w:bCs/>
          <w:color w:val="000000" w:themeColor="text1"/>
          <w:sz w:val="32"/>
          <w:szCs w:val="32"/>
          <w14:textFill>
            <w14:solidFill>
              <w14:schemeClr w14:val="tx1"/>
            </w14:solidFill>
          </w14:textFill>
        </w:rPr>
        <w:t xml:space="preserve">    号：   35001676107052507374     </w:t>
      </w:r>
    </w:p>
    <w:p w14:paraId="07A0A5C6">
      <w:pPr>
        <w:tabs>
          <w:tab w:val="left" w:pos="1134"/>
        </w:tabs>
        <w:spacing w:line="520" w:lineRule="exact"/>
        <w:ind w:left="42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用途：（请注明）“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2026-2028年沙南</w:t>
      </w:r>
      <w:r>
        <w:rPr>
          <w:rFonts w:hint="eastAsia" w:ascii="仿宋_GB2312" w:hAnsi="仿宋_GB2312" w:eastAsia="仿宋_GB2312" w:cs="仿宋_GB2312"/>
          <w:color w:val="000000" w:themeColor="text1"/>
          <w:spacing w:val="-4"/>
          <w:sz w:val="32"/>
          <w:szCs w:val="32"/>
          <w14:textFill>
            <w14:solidFill>
              <w14:schemeClr w14:val="tx1"/>
            </w14:solidFill>
          </w14:textFill>
        </w:rPr>
        <w:t>高速日常养护</w:t>
      </w:r>
      <w:r>
        <w:rPr>
          <w:rFonts w:hint="eastAsia" w:ascii="仿宋_GB2312" w:hAnsi="仿宋_GB2312" w:eastAsia="仿宋_GB2312" w:cs="仿宋_GB2312"/>
          <w:bCs/>
          <w:color w:val="000000" w:themeColor="text1"/>
          <w:sz w:val="32"/>
          <w:szCs w:val="32"/>
          <w14:textFill>
            <w14:solidFill>
              <w14:schemeClr w14:val="tx1"/>
            </w14:solidFill>
          </w14:textFill>
        </w:rPr>
        <w:t>承诺保证金”，如因承诺人汇款凭证未注明项目名称造成选择人无法识别承诺保证金到账情况或识别错误的，其责任由承诺人自行承担。</w:t>
      </w:r>
    </w:p>
    <w:p w14:paraId="7145264C">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七、其他说明</w:t>
      </w:r>
    </w:p>
    <w:p w14:paraId="76C8603A">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中选后承诺保证金转</w:t>
      </w:r>
      <w:r>
        <w:rPr>
          <w:rFonts w:ascii="仿宋_GB2312" w:hAnsi="仿宋_GB2312" w:eastAsia="仿宋_GB2312" w:cs="仿宋_GB2312"/>
          <w:color w:val="000000" w:themeColor="text1"/>
          <w:sz w:val="32"/>
          <w:szCs w:val="32"/>
          <w14:textFill>
            <w14:solidFill>
              <w14:schemeClr w14:val="tx1"/>
            </w14:solidFill>
          </w14:textFill>
        </w:rPr>
        <w:t>为履约保证金。</w:t>
      </w:r>
    </w:p>
    <w:p w14:paraId="2FCCEE2D">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2、中选</w:t>
      </w:r>
      <w:r>
        <w:rPr>
          <w:rFonts w:hint="eastAsia" w:ascii="仿宋_GB2312" w:hAnsi="仿宋_GB2312" w:eastAsia="仿宋_GB2312" w:cs="仿宋_GB2312"/>
          <w:bCs/>
          <w:color w:val="000000" w:themeColor="text1"/>
          <w:sz w:val="32"/>
          <w:szCs w:val="32"/>
          <w14:textFill>
            <w14:solidFill>
              <w14:schemeClr w14:val="tx1"/>
            </w14:solidFill>
          </w14:textFill>
        </w:rPr>
        <w:t>的协作班组与南平市高建养护工程有限公司分别签订日常普修及绿化养护合同</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 w:hAnsi="仿宋" w:eastAsia="仿宋" w:cs="Times New Roman"/>
          <w:snapToGrid/>
          <w:color w:val="000000" w:themeColor="text1"/>
          <w:kern w:val="2"/>
          <w:sz w:val="32"/>
          <w:szCs w:val="32"/>
          <w:highlight w:val="none"/>
          <w:lang w:eastAsia="zh-CN"/>
          <w14:textFill>
            <w14:solidFill>
              <w14:schemeClr w14:val="tx1"/>
            </w14:solidFill>
          </w14:textFill>
        </w:rPr>
        <w:t>小水毁小专项工程劳务班组合同</w:t>
      </w:r>
      <w:r>
        <w:rPr>
          <w:rFonts w:hint="eastAsia" w:ascii="仿宋_GB2312" w:hAnsi="仿宋_GB2312" w:eastAsia="仿宋_GB2312" w:cs="仿宋_GB2312"/>
          <w:bCs/>
          <w:color w:val="000000" w:themeColor="text1"/>
          <w:sz w:val="32"/>
          <w:szCs w:val="32"/>
          <w14:textFill>
            <w14:solidFill>
              <w14:schemeClr w14:val="tx1"/>
            </w14:solidFill>
          </w14:textFill>
        </w:rPr>
        <w:t>。</w:t>
      </w:r>
    </w:p>
    <w:p w14:paraId="786B29C7">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3、日常养护</w:t>
      </w:r>
      <w:r>
        <w:rPr>
          <w:rFonts w:ascii="仿宋_GB2312" w:hAnsi="仿宋_GB2312" w:eastAsia="仿宋_GB2312" w:cs="仿宋_GB2312"/>
          <w:color w:val="000000" w:themeColor="text1"/>
          <w:sz w:val="32"/>
          <w:szCs w:val="32"/>
          <w14:textFill>
            <w14:solidFill>
              <w14:schemeClr w14:val="tx1"/>
            </w14:solidFill>
          </w14:textFill>
        </w:rPr>
        <w:t>每个</w:t>
      </w:r>
      <w:r>
        <w:rPr>
          <w:rFonts w:hint="eastAsia" w:ascii="仿宋_GB2312" w:hAnsi="仿宋_GB2312" w:eastAsia="仿宋_GB2312" w:cs="仿宋_GB2312"/>
          <w:color w:val="000000" w:themeColor="text1"/>
          <w:sz w:val="32"/>
          <w:szCs w:val="32"/>
          <w14:textFill>
            <w14:solidFill>
              <w14:schemeClr w14:val="tx1"/>
            </w14:solidFill>
          </w14:textFill>
        </w:rPr>
        <w:t>承诺人必须同时参与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个标段的投标，但只能中选一个标段。</w:t>
      </w:r>
    </w:p>
    <w:p w14:paraId="716A3DE4">
      <w:pPr>
        <w:spacing w:line="5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4、根据甲方下发的《南平市高建养护工程有限公司协作班组考核实施办法》（试行版）每季度对协作班组进行考核，若班组</w:t>
      </w:r>
      <w:r>
        <w:rPr>
          <w:rFonts w:hint="eastAsia" w:ascii="仿宋_GB2312" w:hAnsi="仿宋_GB2312" w:eastAsia="仿宋_GB2312" w:cs="仿宋_GB2312"/>
          <w:b/>
          <w:bCs/>
          <w:color w:val="000000" w:themeColor="text1"/>
          <w:sz w:val="32"/>
          <w:szCs w:val="32"/>
          <w14:textFill>
            <w14:solidFill>
              <w14:schemeClr w14:val="tx1"/>
            </w14:solidFill>
          </w14:textFill>
        </w:rPr>
        <w:t>连续两季度考核得分低于</w:t>
      </w:r>
      <w:r>
        <w:rPr>
          <w:rFonts w:ascii="仿宋_GB2312" w:hAnsi="仿宋_GB2312" w:eastAsia="仿宋_GB2312" w:cs="仿宋_GB2312"/>
          <w:b/>
          <w:bCs/>
          <w:color w:val="000000" w:themeColor="text1"/>
          <w:sz w:val="32"/>
          <w:szCs w:val="32"/>
          <w14:textFill>
            <w14:solidFill>
              <w14:schemeClr w14:val="tx1"/>
            </w14:solidFill>
          </w14:textFill>
        </w:rPr>
        <w:t>80</w:t>
      </w:r>
      <w:r>
        <w:rPr>
          <w:rFonts w:hint="eastAsia" w:ascii="仿宋_GB2312" w:hAnsi="仿宋_GB2312" w:eastAsia="仿宋_GB2312" w:cs="仿宋_GB2312"/>
          <w:b/>
          <w:bCs/>
          <w:color w:val="000000" w:themeColor="text1"/>
          <w:sz w:val="32"/>
          <w:szCs w:val="32"/>
          <w14:textFill>
            <w14:solidFill>
              <w14:schemeClr w14:val="tx1"/>
            </w14:solidFill>
          </w14:textFill>
        </w:rPr>
        <w:t>分的，甲方有权提前终止合同，乙方无条件接受。</w:t>
      </w:r>
    </w:p>
    <w:p w14:paraId="27442B44">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八、联系方式</w:t>
      </w:r>
    </w:p>
    <w:bookmarkEnd w:id="1"/>
    <w:bookmarkEnd w:id="2"/>
    <w:bookmarkEnd w:id="3"/>
    <w:bookmarkEnd w:id="4"/>
    <w:bookmarkEnd w:id="5"/>
    <w:bookmarkEnd w:id="6"/>
    <w:bookmarkEnd w:id="7"/>
    <w:bookmarkEnd w:id="8"/>
    <w:p w14:paraId="0A36AF37">
      <w:pPr>
        <w:spacing w:line="520"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选择人：</w:t>
      </w: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p>
    <w:p w14:paraId="373FEC23">
      <w:pPr>
        <w:spacing w:line="520" w:lineRule="exact"/>
        <w:ind w:firstLine="624" w:firstLineChars="200"/>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rPr>
        <w:t>联系人：</w:t>
      </w:r>
      <w:r>
        <w:rPr>
          <w:rFonts w:hint="eastAsia" w:ascii="仿宋_GB2312" w:hAnsi="仿宋_GB2312" w:eastAsia="仿宋_GB2312" w:cs="仿宋_GB2312"/>
          <w:spacing w:val="-4"/>
          <w:sz w:val="32"/>
          <w:szCs w:val="32"/>
          <w:lang w:val="en-US" w:eastAsia="zh-CN"/>
        </w:rPr>
        <w:t>夏工</w:t>
      </w:r>
    </w:p>
    <w:p w14:paraId="73E91CE8">
      <w:pPr>
        <w:spacing w:line="520" w:lineRule="exact"/>
        <w:ind w:firstLine="624" w:firstLineChars="200"/>
        <w:rPr>
          <w:rFonts w:hint="default" w:ascii="宋体" w:hAnsi="宋体" w:eastAsia="仿宋_GB2312"/>
          <w:spacing w:val="-4"/>
          <w:sz w:val="28"/>
          <w:szCs w:val="28"/>
          <w:lang w:val="en-US" w:eastAsia="zh-CN"/>
        </w:rPr>
      </w:pPr>
      <w:r>
        <w:rPr>
          <w:rFonts w:hint="eastAsia" w:ascii="仿宋_GB2312" w:hAnsi="仿宋_GB2312" w:eastAsia="仿宋_GB2312" w:cs="仿宋_GB2312"/>
          <w:spacing w:val="-4"/>
          <w:sz w:val="32"/>
          <w:szCs w:val="32"/>
        </w:rPr>
        <w:t>电话：</w:t>
      </w:r>
      <w:r>
        <w:rPr>
          <w:rFonts w:hint="eastAsia" w:ascii="仿宋_GB2312" w:hAnsi="仿宋_GB2312" w:eastAsia="仿宋_GB2312" w:cs="仿宋_GB2312"/>
          <w:spacing w:val="-4"/>
          <w:sz w:val="32"/>
          <w:szCs w:val="32"/>
          <w:lang w:val="en-US" w:eastAsia="zh-CN"/>
        </w:rPr>
        <w:t>19859965559</w:t>
      </w:r>
    </w:p>
    <w:p w14:paraId="36413E5B">
      <w:pPr>
        <w:spacing w:line="580" w:lineRule="exact"/>
        <w:ind w:firstLine="0" w:firstLineChars="0"/>
        <w:rPr>
          <w:rFonts w:ascii="仿宋" w:hAnsi="仿宋" w:eastAsia="仿宋"/>
          <w:color w:val="000000" w:themeColor="text1"/>
          <w:sz w:val="32"/>
          <w:szCs w:val="32"/>
          <w14:textFill>
            <w14:solidFill>
              <w14:schemeClr w14:val="tx1"/>
            </w14:solidFill>
          </w14:textFill>
        </w:rPr>
      </w:pPr>
    </w:p>
    <w:p w14:paraId="65D85E4E">
      <w:pPr>
        <w:spacing w:line="520" w:lineRule="exact"/>
        <w:ind w:left="3520" w:hanging="3534" w:hangingChars="1100"/>
        <w:jc w:val="right"/>
        <w:rPr>
          <w:rFonts w:ascii="仿宋" w:hAnsi="仿宋" w:eastAsia="仿宋"/>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南平市高建养护工程有限公司</w:t>
      </w:r>
      <w:r>
        <w:rPr>
          <w:rFonts w:ascii="仿宋" w:hAnsi="仿宋" w:eastAsia="仿宋"/>
          <w:color w:val="000000" w:themeColor="text1"/>
          <w:kern w:val="0"/>
          <w:sz w:val="32"/>
          <w:szCs w:val="32"/>
          <w14:textFill>
            <w14:solidFill>
              <w14:schemeClr w14:val="tx1"/>
            </w14:solidFill>
          </w14:textFill>
        </w:rPr>
        <w:t xml:space="preserve">                       </w:t>
      </w:r>
      <w:r>
        <w:rPr>
          <w:rFonts w:ascii="仿宋" w:hAnsi="仿宋" w:eastAsia="仿宋"/>
          <w:color w:val="FF0000"/>
          <w:kern w:val="0"/>
          <w:sz w:val="32"/>
          <w:szCs w:val="32"/>
        </w:rPr>
        <w:t>20</w:t>
      </w:r>
      <w:r>
        <w:rPr>
          <w:rFonts w:hint="eastAsia" w:ascii="仿宋" w:hAnsi="仿宋" w:eastAsia="仿宋"/>
          <w:color w:val="FF0000"/>
          <w:kern w:val="0"/>
          <w:sz w:val="32"/>
          <w:szCs w:val="32"/>
        </w:rPr>
        <w:t>2</w:t>
      </w:r>
      <w:r>
        <w:rPr>
          <w:rFonts w:hint="eastAsia" w:ascii="仿宋" w:hAnsi="仿宋" w:eastAsia="仿宋"/>
          <w:color w:val="FF0000"/>
          <w:kern w:val="0"/>
          <w:sz w:val="32"/>
          <w:szCs w:val="32"/>
          <w:lang w:val="en-US" w:eastAsia="zh-CN"/>
        </w:rPr>
        <w:t>5</w:t>
      </w:r>
      <w:r>
        <w:rPr>
          <w:rFonts w:hint="eastAsia" w:ascii="仿宋" w:hAnsi="仿宋" w:eastAsia="仿宋"/>
          <w:color w:val="FF0000"/>
          <w:kern w:val="0"/>
          <w:sz w:val="32"/>
          <w:szCs w:val="32"/>
        </w:rPr>
        <w:t>年1</w:t>
      </w:r>
      <w:r>
        <w:rPr>
          <w:rFonts w:hint="eastAsia" w:ascii="仿宋" w:hAnsi="仿宋" w:eastAsia="仿宋"/>
          <w:color w:val="FF0000"/>
          <w:kern w:val="0"/>
          <w:sz w:val="32"/>
          <w:szCs w:val="32"/>
          <w:lang w:val="en-US" w:eastAsia="zh-CN"/>
        </w:rPr>
        <w:t>2</w:t>
      </w:r>
      <w:r>
        <w:rPr>
          <w:rFonts w:hint="eastAsia" w:ascii="仿宋" w:hAnsi="仿宋" w:eastAsia="仿宋"/>
          <w:color w:val="FF0000"/>
          <w:kern w:val="0"/>
          <w:sz w:val="32"/>
          <w:szCs w:val="32"/>
        </w:rPr>
        <w:t>月</w:t>
      </w:r>
      <w:r>
        <w:rPr>
          <w:rFonts w:hint="eastAsia" w:ascii="仿宋" w:hAnsi="仿宋" w:eastAsia="仿宋"/>
          <w:color w:val="FF0000"/>
          <w:kern w:val="0"/>
          <w:sz w:val="32"/>
          <w:szCs w:val="32"/>
          <w:lang w:val="en-US" w:eastAsia="zh-CN"/>
        </w:rPr>
        <w:t>22</w:t>
      </w:r>
      <w:r>
        <w:rPr>
          <w:rFonts w:hint="eastAsia" w:ascii="仿宋" w:hAnsi="仿宋" w:eastAsia="仿宋"/>
          <w:color w:val="FF0000"/>
          <w:kern w:val="0"/>
          <w:sz w:val="32"/>
          <w:szCs w:val="32"/>
        </w:rPr>
        <w:t>日</w:t>
      </w:r>
    </w:p>
    <w:p w14:paraId="7DD369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CED6"/>
    <w:multiLevelType w:val="singleLevel"/>
    <w:tmpl w:val="A967CE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60A81"/>
    <w:rsid w:val="38FB3608"/>
    <w:rsid w:val="7F760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8" w:lineRule="auto"/>
      <w:jc w:val="center"/>
      <w:outlineLvl w:val="0"/>
    </w:pPr>
    <w:rPr>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档结构图1"/>
    <w:basedOn w:val="1"/>
    <w:qFormat/>
    <w:uiPriority w:val="99"/>
    <w:rPr>
      <w:sz w:val="18"/>
      <w:szCs w:val="18"/>
    </w:rPr>
  </w:style>
  <w:style w:type="paragraph" w:styleId="4">
    <w:name w:val="Body Text Indent"/>
    <w:basedOn w:val="1"/>
    <w:qFormat/>
    <w:uiPriority w:val="0"/>
    <w:pPr>
      <w:spacing w:line="480" w:lineRule="exact"/>
      <w:ind w:firstLine="359" w:firstLineChars="171"/>
    </w:pPr>
  </w:style>
  <w:style w:type="paragraph" w:styleId="5">
    <w:name w:val="Body Text First Indent 2"/>
    <w:basedOn w:val="4"/>
    <w:qFormat/>
    <w:uiPriority w:val="0"/>
    <w:pPr>
      <w:spacing w:after="120" w:line="360" w:lineRule="auto"/>
      <w:ind w:left="200" w:leftChars="200" w:firstLine="420"/>
    </w:pPr>
    <w:rPr>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2288</Words>
  <Characters>2586</Characters>
  <Lines>0</Lines>
  <Paragraphs>0</Paragraphs>
  <TotalTime>2</TotalTime>
  <ScaleCrop>false</ScaleCrop>
  <LinksUpToDate>false</LinksUpToDate>
  <CharactersWithSpaces>2674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2025-12-22T02:05:00Z</dcterms:created>
  <dc:creator>邓慧珑</dc:creator>
  <cp:lastModifiedBy>お.猪排ぁ</cp:lastModifiedBy>
  <dcterms:modified xsi:type="dcterms:W3CDTF">2025-12-22T08:28:17Z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6CECEB71AFB04371925026226F76317E_13</vt:lpwstr>
  </property>
  <property fmtid="{D5CDD505-2E9C-101B-9397-08002B2CF9AE}" pid="4" name="KSOTemplateDocerSaveRecord">
    <vt:lpwstr>eyJoZGlkIjoiZDcxNDMzYjYxODc5NzY0N2Q0M2I1YjMxYjg4NmFhZGYiLCJ1c2VySWQiOiI1MjE2ODU1MjcifQ==</vt:lpwstr>
  </property>
</Properties>
</file>