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spacing w:line="360" w:lineRule="auto"/>
        <w:jc w:val="center"/>
        <w:rPr>
          <w:rFonts w:hint="eastAsia" w:ascii="宋体" w:hAnsi="宋体" w:cs="宋体"/>
          <w:color w:val="auto"/>
          <w:sz w:val="32"/>
          <w:szCs w:val="32"/>
          <w:highlight w:val="none"/>
        </w:rPr>
      </w:pPr>
      <w:r>
        <w:rPr>
          <w:rFonts w:hint="eastAsia" w:ascii="宋体" w:hAnsi="宋体" w:cs="宋体"/>
          <w:color w:val="auto"/>
          <w:spacing w:val="14"/>
          <w:sz w:val="32"/>
          <w:szCs w:val="32"/>
          <w:highlight w:val="none"/>
        </w:rPr>
        <w:t>第一</w:t>
      </w:r>
      <w:r>
        <w:rPr>
          <w:rFonts w:hint="eastAsia" w:ascii="宋体" w:hAnsi="宋体" w:cs="宋体"/>
          <w:color w:val="auto"/>
          <w:sz w:val="32"/>
          <w:szCs w:val="32"/>
          <w:highlight w:val="none"/>
        </w:rPr>
        <w:t>章</w:t>
      </w:r>
      <w:r>
        <w:rPr>
          <w:rFonts w:hint="eastAsia" w:ascii="宋体" w:hAnsi="宋体" w:cs="宋体"/>
          <w:color w:val="auto"/>
          <w:sz w:val="32"/>
          <w:szCs w:val="32"/>
          <w:highlight w:val="none"/>
        </w:rPr>
        <w:tab/>
      </w:r>
      <w:r>
        <w:rPr>
          <w:rFonts w:hint="eastAsia" w:ascii="宋体" w:hAnsi="宋体" w:cs="宋体"/>
          <w:color w:val="auto"/>
          <w:spacing w:val="14"/>
          <w:sz w:val="32"/>
          <w:szCs w:val="32"/>
          <w:highlight w:val="none"/>
        </w:rPr>
        <w:t>招标公告</w:t>
      </w:r>
    </w:p>
    <w:p>
      <w:pPr>
        <w:widowControl/>
        <w:spacing w:line="360" w:lineRule="auto"/>
        <w:ind w:firstLine="480"/>
        <w:rPr>
          <w:rFonts w:hint="eastAsia" w:ascii="宋体" w:hAnsi="宋体" w:cs="宋体"/>
          <w:color w:val="auto"/>
          <w:sz w:val="24"/>
          <w:highlight w:val="none"/>
          <w:u w:val="single"/>
        </w:rPr>
      </w:pPr>
      <w:r>
        <w:rPr>
          <w:rFonts w:hint="eastAsia" w:ascii="宋体" w:hAnsi="宋体" w:cs="宋体"/>
          <w:color w:val="auto"/>
          <w:w w:val="101"/>
          <w:sz w:val="24"/>
          <w:szCs w:val="24"/>
          <w:highlight w:val="none"/>
          <w:u w:val="single"/>
        </w:rPr>
        <w:t>福建晖源工程咨询有限公司</w:t>
      </w:r>
      <w:r>
        <w:rPr>
          <w:rFonts w:hint="eastAsia" w:ascii="宋体" w:hAnsi="宋体" w:cs="宋体"/>
          <w:color w:val="auto"/>
          <w:w w:val="101"/>
          <w:sz w:val="24"/>
          <w:szCs w:val="24"/>
          <w:highlight w:val="none"/>
          <w:u w:val="single"/>
          <w:lang w:val="en-US" w:eastAsia="zh-CN"/>
        </w:rPr>
        <w:t xml:space="preserve"> </w:t>
      </w:r>
      <w:r>
        <w:rPr>
          <w:rFonts w:hint="eastAsia" w:ascii="宋体" w:hAnsi="宋体" w:cs="宋体"/>
          <w:color w:val="auto"/>
          <w:w w:val="101"/>
          <w:sz w:val="24"/>
          <w:szCs w:val="24"/>
          <w:highlight w:val="none"/>
        </w:rPr>
        <w:t>采用</w:t>
      </w:r>
      <w:r>
        <w:rPr>
          <w:rFonts w:hint="eastAsia" w:ascii="宋体" w:hAnsi="宋体" w:cs="宋体"/>
          <w:color w:val="auto"/>
          <w:w w:val="101"/>
          <w:sz w:val="24"/>
          <w:szCs w:val="24"/>
          <w:highlight w:val="none"/>
          <w:u w:val="single"/>
          <w:lang w:val="en-US" w:eastAsia="zh-CN"/>
        </w:rPr>
        <w:t xml:space="preserve"> </w:t>
      </w:r>
      <w:r>
        <w:rPr>
          <w:rFonts w:hint="eastAsia" w:ascii="宋体" w:hAnsi="宋体" w:cs="宋体"/>
          <w:color w:val="auto"/>
          <w:w w:val="101"/>
          <w:sz w:val="24"/>
          <w:szCs w:val="24"/>
          <w:highlight w:val="none"/>
          <w:u w:val="single"/>
        </w:rPr>
        <w:t>公开招标</w:t>
      </w:r>
      <w:r>
        <w:rPr>
          <w:rFonts w:hint="eastAsia" w:ascii="宋体" w:hAnsi="宋体" w:cs="宋体"/>
          <w:color w:val="auto"/>
          <w:w w:val="101"/>
          <w:sz w:val="24"/>
          <w:szCs w:val="24"/>
          <w:highlight w:val="none"/>
          <w:u w:val="single"/>
          <w:lang w:val="en-US" w:eastAsia="zh-CN"/>
        </w:rPr>
        <w:t xml:space="preserve"> </w:t>
      </w:r>
      <w:r>
        <w:rPr>
          <w:rFonts w:hint="eastAsia" w:ascii="宋体" w:hAnsi="宋体" w:cs="宋体"/>
          <w:color w:val="auto"/>
          <w:w w:val="101"/>
          <w:sz w:val="24"/>
          <w:szCs w:val="24"/>
          <w:highlight w:val="none"/>
          <w:u w:val="none"/>
        </w:rPr>
        <w:t>方式</w:t>
      </w:r>
      <w:r>
        <w:rPr>
          <w:rFonts w:hint="eastAsia" w:ascii="宋体" w:hAnsi="宋体" w:cs="宋体"/>
          <w:color w:val="auto"/>
          <w:w w:val="101"/>
          <w:sz w:val="24"/>
          <w:szCs w:val="24"/>
          <w:highlight w:val="none"/>
        </w:rPr>
        <w:t>组织</w:t>
      </w:r>
      <w:r>
        <w:rPr>
          <w:rFonts w:hint="eastAsia" w:ascii="宋体" w:hAnsi="宋体" w:cs="宋体"/>
          <w:color w:val="auto"/>
          <w:w w:val="101"/>
          <w:sz w:val="24"/>
          <w:szCs w:val="24"/>
          <w:highlight w:val="none"/>
          <w:u w:val="single"/>
          <w:lang w:val="en-US" w:eastAsia="zh-CN"/>
        </w:rPr>
        <w:t xml:space="preserve"> 2025年云谷小区二期绿化养护外包服务采购项目 </w:t>
      </w:r>
      <w:r>
        <w:rPr>
          <w:rFonts w:hint="eastAsia" w:ascii="宋体" w:hAnsi="宋体" w:cs="宋体"/>
          <w:color w:val="auto"/>
          <w:w w:val="101"/>
          <w:sz w:val="24"/>
          <w:szCs w:val="24"/>
          <w:highlight w:val="none"/>
        </w:rPr>
        <w:t>（以下简称：“本项目”）的采</w:t>
      </w:r>
      <w:r>
        <w:rPr>
          <w:rFonts w:hint="eastAsia" w:ascii="宋体" w:hAnsi="宋体" w:cs="宋体"/>
          <w:color w:val="auto"/>
          <w:w w:val="105"/>
          <w:sz w:val="24"/>
          <w:szCs w:val="24"/>
          <w:highlight w:val="none"/>
        </w:rPr>
        <w:t>购活动，</w:t>
      </w:r>
      <w:r>
        <w:rPr>
          <w:rFonts w:hint="eastAsia" w:ascii="宋体" w:hAnsi="宋体" w:cs="宋体"/>
          <w:color w:val="auto"/>
          <w:sz w:val="24"/>
          <w:highlight w:val="none"/>
        </w:rPr>
        <w:t>现欢迎国内合格的投标人前来投标</w:t>
      </w:r>
      <w:r>
        <w:rPr>
          <w:rFonts w:hint="eastAsia" w:ascii="宋体" w:hAnsi="宋体" w:cs="宋体"/>
          <w:color w:val="auto"/>
          <w:w w:val="105"/>
          <w:sz w:val="24"/>
          <w:szCs w:val="24"/>
          <w:highlight w:val="none"/>
        </w:rPr>
        <w:t>。</w:t>
      </w:r>
    </w:p>
    <w:p>
      <w:pPr>
        <w:pStyle w:val="4"/>
        <w:spacing w:after="0" w:line="360" w:lineRule="auto"/>
        <w:ind w:left="550"/>
        <w:rPr>
          <w:rFonts w:hint="eastAsia" w:ascii="宋体" w:hAnsi="宋体" w:cs="宋体"/>
          <w:color w:val="auto"/>
          <w:sz w:val="24"/>
          <w:highlight w:val="none"/>
        </w:rPr>
      </w:pPr>
      <w:r>
        <w:rPr>
          <w:rFonts w:hint="eastAsia" w:ascii="宋体" w:hAnsi="宋体" w:cs="宋体"/>
          <w:color w:val="auto"/>
          <w:sz w:val="24"/>
          <w:highlight w:val="none"/>
        </w:rPr>
        <w:t>1、招标编号：福晖采招[202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057</w:t>
      </w:r>
      <w:r>
        <w:rPr>
          <w:rFonts w:hint="eastAsia" w:ascii="宋体" w:hAnsi="宋体" w:cs="宋体"/>
          <w:color w:val="auto"/>
          <w:sz w:val="24"/>
          <w:highlight w:val="none"/>
        </w:rPr>
        <w:t>号。</w:t>
      </w:r>
    </w:p>
    <w:p>
      <w:pPr>
        <w:pStyle w:val="4"/>
        <w:spacing w:after="0" w:line="360" w:lineRule="auto"/>
        <w:ind w:left="550"/>
        <w:rPr>
          <w:rFonts w:hint="eastAsia" w:ascii="宋体" w:hAnsi="宋体" w:eastAsia="宋体" w:cs="宋体"/>
          <w:color w:val="auto"/>
          <w:sz w:val="24"/>
          <w:highlight w:val="none"/>
          <w:lang w:eastAsia="zh-CN"/>
        </w:rPr>
      </w:pPr>
      <w:r>
        <w:rPr>
          <w:rFonts w:hint="eastAsia" w:ascii="宋体" w:hAnsi="宋体" w:cs="宋体"/>
          <w:color w:val="auto"/>
          <w:sz w:val="24"/>
          <w:highlight w:val="none"/>
        </w:rPr>
        <w:t>2、项目名称：</w:t>
      </w:r>
      <w:r>
        <w:rPr>
          <w:rFonts w:hint="eastAsia" w:ascii="宋体" w:hAnsi="宋体" w:cs="宋体"/>
          <w:color w:val="auto"/>
          <w:sz w:val="24"/>
          <w:highlight w:val="none"/>
          <w:lang w:val="en-US" w:eastAsia="zh-CN"/>
        </w:rPr>
        <w:t>2025年云谷小区二期绿化养护外包服务采购</w:t>
      </w:r>
      <w:r>
        <w:rPr>
          <w:rFonts w:hint="eastAsia" w:ascii="宋体" w:hAnsi="宋体" w:cs="宋体"/>
          <w:color w:val="auto"/>
          <w:sz w:val="24"/>
          <w:highlight w:val="none"/>
          <w:lang w:eastAsia="zh-CN"/>
        </w:rPr>
        <w:t>项目</w:t>
      </w:r>
    </w:p>
    <w:p>
      <w:pPr>
        <w:pStyle w:val="4"/>
        <w:spacing w:after="0" w:line="360" w:lineRule="auto"/>
        <w:ind w:left="550"/>
        <w:rPr>
          <w:rFonts w:hint="eastAsia" w:ascii="宋体" w:hAnsi="宋体" w:cs="宋体"/>
          <w:color w:val="auto"/>
          <w:sz w:val="24"/>
          <w:highlight w:val="none"/>
        </w:rPr>
      </w:pPr>
      <w:r>
        <w:rPr>
          <w:rFonts w:hint="eastAsia" w:ascii="宋体" w:hAnsi="宋体" w:cs="宋体"/>
          <w:color w:val="auto"/>
          <w:sz w:val="24"/>
          <w:highlight w:val="none"/>
        </w:rPr>
        <w:t xml:space="preserve">3、招标内容及要求：     </w:t>
      </w:r>
    </w:p>
    <w:p>
      <w:pPr>
        <w:pStyle w:val="4"/>
        <w:spacing w:after="0" w:line="360" w:lineRule="auto"/>
        <w:ind w:left="550"/>
        <w:jc w:val="center"/>
        <w:rPr>
          <w:rFonts w:hint="eastAsia" w:ascii="宋体" w:hAnsi="宋体" w:cs="宋体"/>
          <w:color w:val="auto"/>
          <w:sz w:val="24"/>
          <w:highlight w:val="none"/>
        </w:rPr>
      </w:pPr>
      <w:r>
        <w:rPr>
          <w:rFonts w:hint="eastAsia" w:ascii="宋体" w:hAnsi="宋体" w:cs="宋体"/>
          <w:color w:val="auto"/>
          <w:sz w:val="24"/>
          <w:highlight w:val="none"/>
          <w:lang w:eastAsia="zh-CN"/>
        </w:rPr>
        <w:t>采购标的一览表</w:t>
      </w:r>
    </w:p>
    <w:tbl>
      <w:tblPr>
        <w:tblStyle w:val="8"/>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412"/>
        <w:gridCol w:w="1284"/>
        <w:gridCol w:w="543"/>
        <w:gridCol w:w="1405"/>
        <w:gridCol w:w="1371"/>
        <w:gridCol w:w="1447"/>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9" w:type="dxa"/>
            <w:tcBorders>
              <w:left w:val="single" w:color="auto" w:sz="4" w:space="0"/>
              <w:bottom w:val="single" w:color="auto" w:sz="4" w:space="0"/>
              <w:right w:val="single" w:color="auto" w:sz="4" w:space="0"/>
            </w:tcBorders>
            <w:vAlign w:val="center"/>
          </w:tcPr>
          <w:p>
            <w:pPr>
              <w:pStyle w:val="3"/>
              <w:snapToGrid w:val="0"/>
              <w:spacing w:line="360" w:lineRule="auto"/>
              <w:ind w:firstLine="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合同包</w:t>
            </w:r>
          </w:p>
        </w:tc>
        <w:tc>
          <w:tcPr>
            <w:tcW w:w="1412" w:type="dxa"/>
            <w:tcBorders>
              <w:left w:val="single" w:color="auto" w:sz="4" w:space="0"/>
              <w:bottom w:val="single" w:color="auto" w:sz="4" w:space="0"/>
              <w:right w:val="single" w:color="auto" w:sz="4" w:space="0"/>
            </w:tcBorders>
            <w:vAlign w:val="center"/>
          </w:tcPr>
          <w:p>
            <w:pPr>
              <w:pStyle w:val="3"/>
              <w:snapToGrid w:val="0"/>
              <w:spacing w:line="360" w:lineRule="auto"/>
              <w:ind w:firstLine="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服务名称</w:t>
            </w:r>
          </w:p>
        </w:tc>
        <w:tc>
          <w:tcPr>
            <w:tcW w:w="1284" w:type="dxa"/>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服务期限（年）</w:t>
            </w:r>
          </w:p>
        </w:tc>
        <w:tc>
          <w:tcPr>
            <w:tcW w:w="543" w:type="dxa"/>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单位</w:t>
            </w:r>
          </w:p>
        </w:tc>
        <w:tc>
          <w:tcPr>
            <w:tcW w:w="1405" w:type="dxa"/>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绿化面积</w:t>
            </w:r>
          </w:p>
        </w:tc>
        <w:tc>
          <w:tcPr>
            <w:tcW w:w="1371" w:type="dxa"/>
            <w:tcBorders>
              <w:left w:val="single" w:color="auto" w:sz="4" w:space="0"/>
              <w:bottom w:val="single" w:color="auto" w:sz="4" w:space="0"/>
              <w:right w:val="single" w:color="auto" w:sz="4" w:space="0"/>
            </w:tcBorders>
            <w:vAlign w:val="center"/>
          </w:tcPr>
          <w:p>
            <w:pPr>
              <w:pStyle w:val="6"/>
              <w:numPr>
                <w:ilvl w:val="0"/>
                <w:numId w:val="0"/>
              </w:numPr>
              <w:ind w:left="0" w:leftChars="0" w:firstLine="0" w:firstLineChars="0"/>
              <w:jc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color w:val="000000" w:themeColor="text1"/>
                <w:kern w:val="0"/>
                <w:sz w:val="24"/>
                <w:szCs w:val="24"/>
                <w:lang w:val="en-US" w:eastAsia="zh-CN" w:bidi="ar-SA"/>
                <w14:textFill>
                  <w14:solidFill>
                    <w14:schemeClr w14:val="tx1"/>
                  </w14:solidFill>
                </w14:textFill>
              </w:rPr>
              <w:t>最高</w:t>
            </w:r>
            <w:r>
              <w:rPr>
                <w:rFonts w:hint="eastAsia" w:ascii="宋体" w:hAnsi="宋体" w:eastAsia="宋体" w:cs="宋体"/>
                <w:color w:val="000000" w:themeColor="text1"/>
                <w:kern w:val="0"/>
                <w:sz w:val="24"/>
                <w:szCs w:val="24"/>
                <w:lang w:val="en-US" w:eastAsia="zh-CN" w:bidi="ar-SA"/>
                <w14:textFill>
                  <w14:solidFill>
                    <w14:schemeClr w14:val="tx1"/>
                  </w14:solidFill>
                </w14:textFill>
              </w:rPr>
              <w:t>单价</w:t>
            </w:r>
            <w:r>
              <w:rPr>
                <w:rFonts w:hint="eastAsia" w:ascii="宋体" w:hAnsi="宋体" w:cs="宋体"/>
                <w:color w:val="000000" w:themeColor="text1"/>
                <w:kern w:val="0"/>
                <w:sz w:val="24"/>
                <w:szCs w:val="24"/>
                <w:lang w:val="en-US" w:eastAsia="zh-CN" w:bidi="ar-SA"/>
                <w14:textFill>
                  <w14:solidFill>
                    <w14:schemeClr w14:val="tx1"/>
                  </w14:solidFill>
                </w14:textFill>
              </w:rPr>
              <w:t>限</w:t>
            </w:r>
            <w:r>
              <w:rPr>
                <w:rFonts w:hint="eastAsia" w:ascii="宋体" w:hAnsi="宋体" w:eastAsia="宋体" w:cs="宋体"/>
                <w:color w:val="000000" w:themeColor="text1"/>
                <w:kern w:val="0"/>
                <w:sz w:val="24"/>
                <w:szCs w:val="24"/>
                <w:lang w:val="en-US" w:eastAsia="zh-CN" w:bidi="ar-SA"/>
                <w14:textFill>
                  <w14:solidFill>
                    <w14:schemeClr w14:val="tx1"/>
                  </w14:solidFill>
                </w14:textFill>
              </w:rPr>
              <w:t>价（元）</w:t>
            </w:r>
          </w:p>
        </w:tc>
        <w:tc>
          <w:tcPr>
            <w:tcW w:w="1447" w:type="dxa"/>
            <w:tcBorders>
              <w:left w:val="single" w:color="auto" w:sz="4" w:space="0"/>
              <w:bottom w:val="single" w:color="auto" w:sz="4" w:space="0"/>
              <w:right w:val="single" w:color="auto" w:sz="4" w:space="0"/>
            </w:tcBorders>
            <w:vAlign w:val="center"/>
          </w:tcPr>
          <w:p>
            <w:pPr>
              <w:pStyle w:val="6"/>
              <w:numPr>
                <w:ilvl w:val="0"/>
                <w:numId w:val="0"/>
              </w:numPr>
              <w:ind w:left="0" w:leftChars="0" w:firstLine="0" w:firstLineChars="0"/>
              <w:jc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color w:val="000000" w:themeColor="text1"/>
                <w:kern w:val="0"/>
                <w:sz w:val="24"/>
                <w:szCs w:val="24"/>
                <w:lang w:val="en-US" w:eastAsia="zh-CN" w:bidi="ar-SA"/>
                <w14:textFill>
                  <w14:solidFill>
                    <w14:schemeClr w14:val="tx1"/>
                  </w14:solidFill>
                </w14:textFill>
              </w:rPr>
              <w:t>最高</w:t>
            </w:r>
            <w:r>
              <w:rPr>
                <w:rFonts w:hint="eastAsia" w:ascii="宋体" w:hAnsi="宋体" w:eastAsia="宋体" w:cs="宋体"/>
                <w:color w:val="000000" w:themeColor="text1"/>
                <w:kern w:val="0"/>
                <w:sz w:val="24"/>
                <w:szCs w:val="24"/>
                <w:lang w:val="en-US" w:eastAsia="zh-CN" w:bidi="ar-SA"/>
                <w14:textFill>
                  <w14:solidFill>
                    <w14:schemeClr w14:val="tx1"/>
                  </w14:solidFill>
                </w14:textFill>
              </w:rPr>
              <w:t>总价</w:t>
            </w:r>
            <w:r>
              <w:rPr>
                <w:rFonts w:hint="eastAsia" w:ascii="宋体" w:hAnsi="宋体" w:cs="宋体"/>
                <w:color w:val="000000" w:themeColor="text1"/>
                <w:kern w:val="0"/>
                <w:sz w:val="24"/>
                <w:szCs w:val="24"/>
                <w:lang w:val="en-US" w:eastAsia="zh-CN" w:bidi="ar-SA"/>
                <w14:textFill>
                  <w14:solidFill>
                    <w14:schemeClr w14:val="tx1"/>
                  </w14:solidFill>
                </w14:textFill>
              </w:rPr>
              <w:t>限</w:t>
            </w:r>
            <w:r>
              <w:rPr>
                <w:rFonts w:hint="eastAsia" w:ascii="宋体" w:hAnsi="宋体" w:eastAsia="宋体" w:cs="宋体"/>
                <w:color w:val="000000" w:themeColor="text1"/>
                <w:kern w:val="0"/>
                <w:sz w:val="24"/>
                <w:szCs w:val="24"/>
                <w:lang w:val="en-US" w:eastAsia="zh-CN" w:bidi="ar-SA"/>
                <w14:textFill>
                  <w14:solidFill>
                    <w14:schemeClr w14:val="tx1"/>
                  </w14:solidFill>
                </w14:textFill>
              </w:rPr>
              <w:t>价（元）</w:t>
            </w:r>
          </w:p>
        </w:tc>
        <w:tc>
          <w:tcPr>
            <w:tcW w:w="1197" w:type="dxa"/>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保证金（元）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pStyle w:val="3"/>
              <w:snapToGrid w:val="0"/>
              <w:spacing w:line="360" w:lineRule="auto"/>
              <w:ind w:firstLine="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云谷小区二期绿化养护</w:t>
            </w:r>
            <w:r>
              <w:rPr>
                <w:rFonts w:hint="eastAsia" w:ascii="宋体" w:hAnsi="宋体" w:cs="宋体"/>
                <w:b w:val="0"/>
                <w:bCs w:val="0"/>
                <w:color w:val="auto"/>
                <w:kern w:val="2"/>
                <w:sz w:val="24"/>
                <w:szCs w:val="24"/>
                <w:highlight w:val="none"/>
                <w:lang w:val="en-US" w:eastAsia="zh-CN" w:bidi="ar-SA"/>
              </w:rPr>
              <w:t>外包</w:t>
            </w:r>
          </w:p>
        </w:tc>
        <w:tc>
          <w:tcPr>
            <w:tcW w:w="12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5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i w:val="0"/>
                <w:color w:val="000000"/>
                <w:kern w:val="0"/>
                <w:sz w:val="24"/>
                <w:szCs w:val="24"/>
                <w:u w:val="none"/>
                <w:lang w:val="en-US" w:eastAsia="zh-CN" w:bidi="ar"/>
              </w:rPr>
              <w:t>㎡</w:t>
            </w:r>
          </w:p>
        </w:tc>
        <w:tc>
          <w:tcPr>
            <w:tcW w:w="14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177091.61㎡</w:t>
            </w:r>
          </w:p>
        </w:tc>
        <w:tc>
          <w:tcPr>
            <w:tcW w:w="13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0.</w:t>
            </w:r>
            <w:r>
              <w:rPr>
                <w:rFonts w:hint="eastAsia" w:ascii="宋体" w:hAnsi="宋体" w:cs="宋体"/>
                <w:b w:val="0"/>
                <w:bCs w:val="0"/>
                <w:color w:val="auto"/>
                <w:kern w:val="2"/>
                <w:sz w:val="24"/>
                <w:szCs w:val="24"/>
                <w:highlight w:val="none"/>
                <w:lang w:val="en-US" w:eastAsia="zh-CN" w:bidi="ar-SA"/>
              </w:rPr>
              <w:t>46</w:t>
            </w:r>
            <w:r>
              <w:rPr>
                <w:rFonts w:hint="eastAsia" w:ascii="宋体" w:hAnsi="宋体" w:eastAsia="宋体" w:cs="宋体"/>
                <w:b w:val="0"/>
                <w:bCs w:val="0"/>
                <w:color w:val="auto"/>
                <w:kern w:val="2"/>
                <w:sz w:val="24"/>
                <w:szCs w:val="24"/>
                <w:highlight w:val="none"/>
                <w:lang w:val="en-US" w:eastAsia="zh-CN" w:bidi="ar-SA"/>
              </w:rPr>
              <w:t>元/㎡/月</w:t>
            </w:r>
          </w:p>
        </w:tc>
        <w:tc>
          <w:tcPr>
            <w:tcW w:w="14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 w:val="0"/>
                <w:bCs w:val="0"/>
                <w:color w:val="auto"/>
                <w:kern w:val="2"/>
                <w:sz w:val="21"/>
                <w:szCs w:val="22"/>
                <w:highlight w:val="none"/>
                <w:lang w:val="en-US" w:eastAsia="zh-CN" w:bidi="ar-SA"/>
              </w:rPr>
            </w:pPr>
            <w:r>
              <w:rPr>
                <w:rFonts w:hint="eastAsia" w:ascii="宋体" w:hAnsi="宋体" w:cs="宋体"/>
                <w:sz w:val="24"/>
                <w:szCs w:val="24"/>
                <w:lang w:val="en-US" w:eastAsia="zh-CN"/>
              </w:rPr>
              <w:t>977545.69</w:t>
            </w:r>
          </w:p>
        </w:tc>
        <w:tc>
          <w:tcPr>
            <w:tcW w:w="11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0</w:t>
            </w:r>
            <w:r>
              <w:rPr>
                <w:rFonts w:hint="eastAsia" w:ascii="宋体" w:hAnsi="宋体" w:eastAsia="宋体" w:cs="宋体"/>
                <w:i w:val="0"/>
                <w:color w:val="000000"/>
                <w:kern w:val="0"/>
                <w:sz w:val="24"/>
                <w:szCs w:val="24"/>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041" w:type="dxa"/>
            <w:gridSpan w:val="2"/>
            <w:tcBorders>
              <w:top w:val="single" w:color="auto" w:sz="4" w:space="0"/>
              <w:left w:val="single" w:color="auto" w:sz="4" w:space="0"/>
              <w:bottom w:val="single" w:color="auto" w:sz="4" w:space="0"/>
              <w:right w:val="single" w:color="auto" w:sz="4" w:space="0"/>
            </w:tcBorders>
            <w:vAlign w:val="center"/>
          </w:tcPr>
          <w:p>
            <w:pPr>
              <w:pStyle w:val="3"/>
              <w:snapToGrid w:val="0"/>
              <w:spacing w:line="360" w:lineRule="auto"/>
              <w:ind w:firstLine="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采购人</w:t>
            </w:r>
          </w:p>
        </w:tc>
        <w:tc>
          <w:tcPr>
            <w:tcW w:w="7247" w:type="dxa"/>
            <w:gridSpan w:val="6"/>
            <w:tcBorders>
              <w:top w:val="single" w:color="auto" w:sz="4" w:space="0"/>
              <w:left w:val="single" w:color="auto" w:sz="4" w:space="0"/>
              <w:bottom w:val="single" w:color="auto" w:sz="4" w:space="0"/>
              <w:right w:val="single" w:color="auto" w:sz="4" w:space="0"/>
            </w:tcBorders>
            <w:vAlign w:val="center"/>
          </w:tcPr>
          <w:p>
            <w:pPr>
              <w:pStyle w:val="3"/>
              <w:snapToGrid w:val="0"/>
              <w:spacing w:line="360" w:lineRule="auto"/>
              <w:ind w:firstLine="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南平市汇禾物业管理有限公司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041" w:type="dxa"/>
            <w:gridSpan w:val="2"/>
            <w:tcBorders>
              <w:top w:val="single" w:color="auto" w:sz="4" w:space="0"/>
              <w:left w:val="single" w:color="auto" w:sz="4" w:space="0"/>
              <w:bottom w:val="single" w:color="auto" w:sz="4" w:space="0"/>
              <w:right w:val="single" w:color="auto" w:sz="4" w:space="0"/>
            </w:tcBorders>
            <w:vAlign w:val="center"/>
          </w:tcPr>
          <w:p>
            <w:pPr>
              <w:pStyle w:val="3"/>
              <w:snapToGrid w:val="0"/>
              <w:spacing w:line="360" w:lineRule="auto"/>
              <w:ind w:firstLine="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联系人</w:t>
            </w:r>
          </w:p>
        </w:tc>
        <w:tc>
          <w:tcPr>
            <w:tcW w:w="7247" w:type="dxa"/>
            <w:gridSpan w:val="6"/>
            <w:tcBorders>
              <w:top w:val="single" w:color="auto" w:sz="4" w:space="0"/>
              <w:left w:val="single" w:color="auto" w:sz="4" w:space="0"/>
              <w:bottom w:val="single" w:color="auto" w:sz="4" w:space="0"/>
              <w:right w:val="single" w:color="auto" w:sz="4" w:space="0"/>
            </w:tcBorders>
            <w:vAlign w:val="center"/>
          </w:tcPr>
          <w:p>
            <w:pPr>
              <w:pStyle w:val="3"/>
              <w:snapToGrid w:val="0"/>
              <w:spacing w:line="360" w:lineRule="auto"/>
              <w:ind w:firstLine="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蔡女士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041" w:type="dxa"/>
            <w:gridSpan w:val="2"/>
            <w:tcBorders>
              <w:top w:val="single" w:color="auto" w:sz="4" w:space="0"/>
              <w:left w:val="single" w:color="auto" w:sz="4" w:space="0"/>
              <w:right w:val="single" w:color="auto" w:sz="4" w:space="0"/>
            </w:tcBorders>
            <w:vAlign w:val="center"/>
          </w:tcPr>
          <w:p>
            <w:pPr>
              <w:pStyle w:val="3"/>
              <w:snapToGrid w:val="0"/>
              <w:spacing w:line="360" w:lineRule="auto"/>
              <w:ind w:firstLine="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联系方式</w:t>
            </w:r>
          </w:p>
        </w:tc>
        <w:tc>
          <w:tcPr>
            <w:tcW w:w="7247" w:type="dxa"/>
            <w:gridSpan w:val="6"/>
            <w:tcBorders>
              <w:top w:val="single" w:color="auto" w:sz="4" w:space="0"/>
              <w:left w:val="single" w:color="auto" w:sz="4" w:space="0"/>
              <w:right w:val="single" w:color="auto" w:sz="4" w:space="0"/>
            </w:tcBorders>
            <w:vAlign w:val="center"/>
          </w:tcPr>
          <w:p>
            <w:pPr>
              <w:pStyle w:val="3"/>
              <w:snapToGrid w:val="0"/>
              <w:spacing w:line="360" w:lineRule="auto"/>
              <w:ind w:firstLine="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18950605989</w:t>
            </w:r>
          </w:p>
        </w:tc>
      </w:tr>
    </w:tbl>
    <w:p>
      <w:pPr>
        <w:pStyle w:val="3"/>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备注：（1）</w:t>
      </w:r>
      <w:r>
        <w:rPr>
          <w:rFonts w:hint="eastAsia" w:ascii="宋体" w:hAnsi="宋体" w:cs="宋体"/>
          <w:color w:val="auto"/>
          <w:sz w:val="24"/>
          <w:szCs w:val="24"/>
          <w:highlight w:val="none"/>
          <w:lang w:eastAsia="zh-CN"/>
        </w:rPr>
        <w:t>本项目按合同包进行评标与授标。投标人必须对同一个合同包中的全部服务进行投标，否则其投标文件将被拒绝</w:t>
      </w:r>
      <w:r>
        <w:rPr>
          <w:rFonts w:hint="eastAsia" w:ascii="宋体" w:hAnsi="宋体" w:cs="宋体"/>
          <w:color w:val="auto"/>
          <w:sz w:val="24"/>
          <w:szCs w:val="24"/>
          <w:highlight w:val="none"/>
        </w:rPr>
        <w:t>。</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（2）投标人的</w:t>
      </w:r>
      <w:r>
        <w:rPr>
          <w:rFonts w:hint="eastAsia" w:ascii="宋体" w:hAnsi="宋体" w:cs="宋体"/>
          <w:color w:val="auto"/>
          <w:sz w:val="24"/>
          <w:szCs w:val="24"/>
          <w:highlight w:val="none"/>
          <w:lang w:val="en-US" w:eastAsia="zh-CN"/>
        </w:rPr>
        <w:t>报</w:t>
      </w:r>
      <w:r>
        <w:rPr>
          <w:rFonts w:hint="eastAsia" w:ascii="宋体" w:hAnsi="宋体" w:cs="宋体"/>
          <w:color w:val="auto"/>
          <w:sz w:val="24"/>
          <w:szCs w:val="24"/>
          <w:highlight w:val="none"/>
        </w:rPr>
        <w:t>价不得超过</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人所提供的最高限价，否则其投标报价为无效报价。</w:t>
      </w:r>
    </w:p>
    <w:p>
      <w:pPr>
        <w:pStyle w:val="3"/>
        <w:snapToGrid w:val="0"/>
        <w:spacing w:line="360" w:lineRule="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本项目驻点绿化工配置需满足18人。</w:t>
      </w:r>
    </w:p>
    <w:p>
      <w:pPr>
        <w:pStyle w:val="3"/>
        <w:snapToGrid w:val="0"/>
        <w:spacing w:line="360" w:lineRule="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需安装自动喷淋浇灌系统及负责施肥工作，肥料由投标人承担。</w:t>
      </w:r>
    </w:p>
    <w:p>
      <w:pPr>
        <w:pStyle w:val="3"/>
        <w:snapToGrid w:val="0"/>
        <w:spacing w:line="360" w:lineRule="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绿化养护服务费固定单价包干，合同期限内不因任何原因（包括约定作业面积误差、抢工、物价上涨、最低工资标准或社保交费基数上调、人员配置增加、设备配置调整等）调增，其中已包含管理费、服装费、物资与设备（详见项目物资配置标准）、人员工资、保险、食宿、加班、奖金、福利、利润等（除税费以外）投标人履行绿化服务及其他约定义务所需的所有费用。另绿化用水应实施专人管理，注重节约用水。</w:t>
      </w:r>
    </w:p>
    <w:p>
      <w:pPr>
        <w:pStyle w:val="3"/>
        <w:snapToGrid w:val="0"/>
        <w:spacing w:line="24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（6）本项目最高单价限价及最高总价限价为不含税价，投标人结算时需提供增值税专用发票。</w:t>
      </w:r>
    </w:p>
    <w:p>
      <w:pPr>
        <w:pStyle w:val="3"/>
        <w:snapToGrid w:val="0"/>
        <w:spacing w:line="240" w:lineRule="auto"/>
        <w:rPr>
          <w:rFonts w:hint="eastAsia" w:ascii="宋体" w:hAnsi="宋体" w:cs="宋体"/>
          <w:color w:val="auto"/>
          <w:sz w:val="24"/>
          <w:szCs w:val="24"/>
          <w:highlight w:val="none"/>
          <w:lang w:val="en-US" w:eastAsia="zh-CN"/>
        </w:rPr>
      </w:pPr>
    </w:p>
    <w:p>
      <w:pPr>
        <w:pStyle w:val="3"/>
        <w:snapToGrid w:val="0"/>
        <w:spacing w:line="240" w:lineRule="auto"/>
        <w:rPr>
          <w:rFonts w:hint="eastAsia" w:ascii="宋体" w:hAnsi="宋体" w:cs="宋体"/>
          <w:color w:val="auto"/>
          <w:sz w:val="24"/>
          <w:szCs w:val="24"/>
          <w:highlight w:val="none"/>
          <w:lang w:val="en-US" w:eastAsia="zh-CN"/>
        </w:rPr>
      </w:pPr>
    </w:p>
    <w:p>
      <w:pPr>
        <w:tabs>
          <w:tab w:val="left" w:pos="868"/>
        </w:tabs>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szCs w:val="24"/>
          <w:highlight w:val="none"/>
        </w:rPr>
        <w:t>4、</w:t>
      </w:r>
      <w:r>
        <w:rPr>
          <w:rFonts w:hint="eastAsia" w:ascii="宋体" w:hAnsi="宋体" w:cs="宋体"/>
          <w:b/>
          <w:color w:val="auto"/>
          <w:sz w:val="24"/>
          <w:highlight w:val="none"/>
        </w:rPr>
        <w:t>投标人资质要求及审查办法</w:t>
      </w:r>
    </w:p>
    <w:p>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w:t>
      </w:r>
      <w:r>
        <w:rPr>
          <w:rFonts w:hint="eastAsia" w:ascii="宋体" w:hAnsi="宋体" w:cs="宋体"/>
          <w:color w:val="auto"/>
          <w:sz w:val="24"/>
          <w:highlight w:val="none"/>
          <w:lang w:eastAsia="zh-CN"/>
        </w:rPr>
        <w:t>、</w:t>
      </w:r>
      <w:r>
        <w:rPr>
          <w:rFonts w:hint="eastAsia" w:ascii="宋体" w:hAnsi="宋体" w:cs="宋体"/>
          <w:color w:val="auto"/>
          <w:sz w:val="24"/>
          <w:highlight w:val="none"/>
        </w:rPr>
        <w:t>投标人的资格要求</w:t>
      </w:r>
    </w:p>
    <w:p>
      <w:pPr>
        <w:numPr>
          <w:ilvl w:val="0"/>
          <w:numId w:val="1"/>
        </w:numPr>
        <w:tabs>
          <w:tab w:val="left" w:pos="868"/>
        </w:tabs>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lang w:eastAsia="zh-CN"/>
        </w:rPr>
        <w:t>凡有能力提供本招标文件所述</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lang w:eastAsia="zh-CN"/>
        </w:rPr>
        <w:t>，具有独立法人资格的境内</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lang w:eastAsia="zh-CN"/>
        </w:rPr>
        <w:t>商</w:t>
      </w:r>
      <w:r>
        <w:rPr>
          <w:rFonts w:hint="eastAsia" w:ascii="宋体" w:hAnsi="宋体" w:cs="宋体"/>
          <w:color w:val="auto"/>
          <w:sz w:val="24"/>
          <w:highlight w:val="none"/>
        </w:rPr>
        <w:t>。</w:t>
      </w:r>
    </w:p>
    <w:p>
      <w:pPr>
        <w:tabs>
          <w:tab w:val="left" w:pos="868"/>
        </w:tabs>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）投标人需提供财务状况报告，依法缴纳税收和社会保障资金的相关材料。</w:t>
      </w:r>
    </w:p>
    <w:p>
      <w:pPr>
        <w:tabs>
          <w:tab w:val="left" w:pos="868"/>
        </w:tabs>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）投标人在“信用中国”网站（</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"http://www.creditchina.gov.cn/"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http://www.creditchina.gov.cn/</w:t>
      </w:r>
      <w:r>
        <w:rPr>
          <w:rFonts w:hint="eastAsia" w:ascii="宋体" w:hAnsi="宋体" w:cs="宋体"/>
          <w:color w:val="auto"/>
          <w:sz w:val="24"/>
          <w:highlight w:val="none"/>
        </w:rPr>
        <w:fldChar w:fldCharType="end"/>
      </w:r>
      <w:r>
        <w:rPr>
          <w:rFonts w:hint="eastAsia" w:ascii="宋体" w:hAnsi="宋体" w:cs="宋体"/>
          <w:color w:val="auto"/>
          <w:sz w:val="24"/>
          <w:highlight w:val="none"/>
        </w:rPr>
        <w:t>）中无被列入失信被执行人、重大税收违法案件当事人名单。</w:t>
      </w:r>
    </w:p>
    <w:p>
      <w:pPr>
        <w:tabs>
          <w:tab w:val="left" w:pos="868"/>
        </w:tabs>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【说明：须提供本项目采购公告发布日期之后通过“信用中国”网站（</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"http://www.creditchina.gov.cn"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www.creditchina.gov.cn</w:t>
      </w:r>
      <w:r>
        <w:rPr>
          <w:rFonts w:hint="eastAsia" w:ascii="宋体" w:hAnsi="宋体" w:cs="宋体"/>
          <w:color w:val="auto"/>
          <w:sz w:val="24"/>
          <w:highlight w:val="none"/>
        </w:rPr>
        <w:fldChar w:fldCharType="end"/>
      </w:r>
      <w:r>
        <w:rPr>
          <w:rFonts w:hint="eastAsia" w:ascii="宋体" w:hAnsi="宋体" w:cs="宋体"/>
          <w:color w:val="auto"/>
          <w:sz w:val="24"/>
          <w:highlight w:val="none"/>
        </w:rPr>
        <w:t>）查询上述信息查询结果网页打印件（或截图）。】</w:t>
      </w:r>
    </w:p>
    <w:p>
      <w:pPr>
        <w:tabs>
          <w:tab w:val="left" w:pos="868"/>
        </w:tabs>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）投标人需书面承诺近</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年内在经营活动中没有重大违法记录的书面声明及对近三年无行贿犯罪记录进行声明，未提供的，其投标将被拒绝。</w:t>
      </w:r>
    </w:p>
    <w:p>
      <w:pPr>
        <w:tabs>
          <w:tab w:val="left" w:pos="868"/>
        </w:tabs>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）本项目不接受联合体投标。</w:t>
      </w:r>
    </w:p>
    <w:p>
      <w:pPr>
        <w:tabs>
          <w:tab w:val="left" w:pos="868"/>
        </w:tabs>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4.2</w:t>
      </w:r>
      <w:bookmarkStart w:id="0" w:name="OLE_LINK46"/>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本招标项目允许投标人采用资格承诺制。采用资格承诺制的</w:t>
      </w:r>
      <w:r>
        <w:rPr>
          <w:rFonts w:hint="eastAsia" w:ascii="宋体" w:hAnsi="宋体" w:eastAsia="宋体" w:cs="宋体"/>
          <w:color w:val="auto"/>
          <w:sz w:val="24"/>
          <w:highlight w:val="none"/>
          <w:lang w:val="en-US"/>
        </w:rPr>
        <w:t>投标人</w:t>
      </w:r>
      <w:r>
        <w:rPr>
          <w:rFonts w:hint="eastAsia" w:ascii="宋体" w:hAnsi="宋体" w:eastAsia="宋体" w:cs="宋体"/>
          <w:color w:val="auto"/>
          <w:sz w:val="24"/>
          <w:highlight w:val="none"/>
          <w:lang w:val="en-US" w:eastAsia="zh-CN"/>
        </w:rPr>
        <w:t>，应当根据投标(响应)格式文件要求提供资格承诺函，无需提供4.1中（</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）的一般资格条件证明材料；资格承诺函不符合招标文件要求的，视为未按照招标文件规定提交</w:t>
      </w:r>
      <w:r>
        <w:rPr>
          <w:rFonts w:hint="eastAsia" w:ascii="宋体" w:hAnsi="宋体" w:eastAsia="宋体" w:cs="宋体"/>
          <w:color w:val="auto"/>
          <w:sz w:val="24"/>
          <w:highlight w:val="none"/>
          <w:lang w:val="en-US"/>
        </w:rPr>
        <w:t>投标人</w:t>
      </w:r>
      <w:r>
        <w:rPr>
          <w:rFonts w:hint="eastAsia" w:ascii="宋体" w:hAnsi="宋体" w:eastAsia="宋体" w:cs="宋体"/>
          <w:color w:val="auto"/>
          <w:sz w:val="24"/>
          <w:highlight w:val="none"/>
          <w:lang w:val="en-US" w:eastAsia="zh-CN"/>
        </w:rPr>
        <w:t>的资格及资信文件，按资格审查不合格处理</w:t>
      </w:r>
      <w:bookmarkEnd w:id="0"/>
      <w:r>
        <w:rPr>
          <w:rFonts w:hint="eastAsia" w:ascii="宋体" w:hAnsi="宋体" w:eastAsia="宋体" w:cs="宋体"/>
          <w:color w:val="auto"/>
          <w:sz w:val="24"/>
          <w:highlight w:val="none"/>
          <w:lang w:val="en-US" w:eastAsia="zh-CN"/>
        </w:rPr>
        <w:t>。</w:t>
      </w:r>
    </w:p>
    <w:p>
      <w:pPr>
        <w:tabs>
          <w:tab w:val="left" w:pos="868"/>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4.3、</w:t>
      </w:r>
      <w:r>
        <w:rPr>
          <w:rFonts w:hint="eastAsia" w:ascii="宋体" w:hAnsi="宋体" w:cs="宋体"/>
          <w:color w:val="auto"/>
          <w:sz w:val="24"/>
          <w:highlight w:val="none"/>
        </w:rPr>
        <w:t>本招标项目对投标申请人的资格审查均采用资格后审方式，主要资格审查标准和内容详见招标文件中的资格审查文件，只有资格审查合格的投标申请人才有可能被授予合同。</w:t>
      </w:r>
    </w:p>
    <w:p>
      <w:pPr>
        <w:pStyle w:val="4"/>
        <w:spacing w:after="0" w:line="360" w:lineRule="auto"/>
        <w:ind w:right="442"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※根据上述资格要求，投标文件中应提交的“投标人的资格及资信证明文件”详见招标文件第四章。</w:t>
      </w:r>
    </w:p>
    <w:p>
      <w:pPr>
        <w:tabs>
          <w:tab w:val="left" w:pos="868"/>
        </w:tabs>
        <w:spacing w:line="360" w:lineRule="auto"/>
        <w:ind w:firstLine="472" w:firstLineChars="196"/>
        <w:rPr>
          <w:rFonts w:hint="eastAsia" w:ascii="宋体" w:hAnsi="宋体" w:cs="宋体"/>
          <w:b/>
          <w:bCs/>
          <w:color w:val="auto"/>
          <w:sz w:val="24"/>
          <w:highlight w:val="none"/>
        </w:rPr>
      </w:pPr>
      <w:r>
        <w:rPr>
          <w:rFonts w:hint="eastAsia" w:ascii="宋体" w:hAnsi="宋体" w:cs="宋体"/>
          <w:b/>
          <w:bCs/>
          <w:color w:val="auto"/>
          <w:sz w:val="24"/>
          <w:highlight w:val="none"/>
        </w:rPr>
        <w:t>5、招标文件的获取：</w:t>
      </w:r>
    </w:p>
    <w:p>
      <w:pPr>
        <w:widowControl/>
        <w:shd w:val="clear" w:color="auto" w:fill="FFFFFF"/>
        <w:tabs>
          <w:tab w:val="left" w:pos="510"/>
          <w:tab w:val="left" w:pos="900"/>
          <w:tab w:val="left" w:pos="1100"/>
        </w:tabs>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5.1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凡有意参加投标者，请于</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26</w:t>
      </w:r>
      <w:r>
        <w:rPr>
          <w:rFonts w:hint="eastAsia" w:ascii="宋体" w:hAnsi="宋体" w:cs="宋体"/>
          <w:color w:val="auto"/>
          <w:sz w:val="24"/>
          <w:szCs w:val="24"/>
          <w:highlight w:val="none"/>
        </w:rPr>
        <w:t>日至</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01</w:t>
      </w:r>
      <w:r>
        <w:rPr>
          <w:rFonts w:hint="eastAsia" w:ascii="宋体" w:hAnsi="宋体" w:cs="宋体"/>
          <w:color w:val="auto"/>
          <w:sz w:val="24"/>
          <w:szCs w:val="24"/>
          <w:highlight w:val="none"/>
        </w:rPr>
        <w:t>日电汇到福建晖源工程咨询有限公司银行账户（账号：13911301040002420，开户行：农行南平三元支行）并注明合同包号，每份招标文件售价200元，售后不退，不接受其他方式购买招标文件（如电话、网络）。参与本项目的投标人，请将购买招标文件的转账凭证发送至</w:t>
      </w:r>
      <w:r>
        <w:rPr>
          <w:rFonts w:hint="eastAsia" w:ascii="宋体" w:hAnsi="宋体" w:cs="宋体"/>
          <w:color w:val="auto"/>
          <w:sz w:val="24"/>
          <w:szCs w:val="24"/>
          <w:highlight w:val="none"/>
          <w:lang w:val="en-US" w:eastAsia="zh-CN"/>
        </w:rPr>
        <w:t>315218152</w:t>
      </w:r>
      <w:r>
        <w:rPr>
          <w:rFonts w:hint="eastAsia" w:ascii="宋体" w:hAnsi="宋体" w:cs="宋体"/>
          <w:color w:val="auto"/>
          <w:sz w:val="24"/>
          <w:szCs w:val="24"/>
          <w:highlight w:val="none"/>
        </w:rPr>
        <w:t>@qq.com获取招标文件。</w:t>
      </w:r>
    </w:p>
    <w:p>
      <w:pPr>
        <w:widowControl/>
        <w:shd w:val="clear" w:color="auto" w:fill="FFFFFF"/>
        <w:tabs>
          <w:tab w:val="left" w:pos="510"/>
          <w:tab w:val="left" w:pos="900"/>
          <w:tab w:val="left" w:pos="1100"/>
        </w:tabs>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6、投标文件的递交</w:t>
      </w:r>
    </w:p>
    <w:p>
      <w:pPr>
        <w:widowControl/>
        <w:shd w:val="clear" w:color="auto" w:fill="FFFFFF"/>
        <w:tabs>
          <w:tab w:val="left" w:pos="510"/>
          <w:tab w:val="left" w:pos="900"/>
          <w:tab w:val="left" w:pos="1100"/>
        </w:tabs>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6.1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递交截止时间（开标时间）：</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rPr>
        <w:t xml:space="preserve">日 </w:t>
      </w:r>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0（北京时间）。</w:t>
      </w:r>
    </w:p>
    <w:p>
      <w:pPr>
        <w:widowControl/>
        <w:shd w:val="clear" w:color="auto" w:fill="FFFFFF"/>
        <w:tabs>
          <w:tab w:val="left" w:pos="510"/>
          <w:tab w:val="left" w:pos="900"/>
          <w:tab w:val="left" w:pos="1100"/>
        </w:tabs>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6.2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递交地点：</w:t>
      </w:r>
      <w:r>
        <w:rPr>
          <w:rFonts w:hint="eastAsia" w:ascii="宋体" w:hAnsi="宋体" w:cs="宋体"/>
          <w:color w:val="auto"/>
          <w:sz w:val="24"/>
          <w:szCs w:val="24"/>
          <w:highlight w:val="none"/>
          <w:lang w:val="en-US"/>
        </w:rPr>
        <w:t>福建省南平市建阳区翠屏路112号云谷小区二期崇和里112-11到18号店晖源公司开标室</w:t>
      </w:r>
      <w:r>
        <w:rPr>
          <w:rFonts w:hint="eastAsia" w:ascii="宋体" w:hAnsi="宋体" w:cs="宋体"/>
          <w:color w:val="auto"/>
          <w:sz w:val="24"/>
          <w:szCs w:val="24"/>
          <w:highlight w:val="none"/>
        </w:rPr>
        <w:t>，在递交投标文件的同时，投标人派出的代表应当持授权委托书、本人身份证复印件（复印件须加盖公章）及法人身份证复印件（复印件须回加盖公章）到场登记，并提交购买招标资料和缴纳投标保证金凭证（复印件须加盖公章）到场核验登记，逾期收到的或不符合规定的投标文件将被拒绝。</w:t>
      </w:r>
    </w:p>
    <w:p>
      <w:pPr>
        <w:widowControl/>
        <w:shd w:val="clear" w:color="auto" w:fill="FFFFFF"/>
        <w:tabs>
          <w:tab w:val="left" w:pos="510"/>
          <w:tab w:val="left" w:pos="900"/>
          <w:tab w:val="left" w:pos="1100"/>
        </w:tabs>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6.3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投标人对招标文件如有疑问，必须在投标截止时间15日前，将问题以书面的形式提交到福建晖源工程咨询有限公司，口头提交质疑澄清的问题不予接受。招标文件的修改、补充或澄清招标文件的修改将通过</w:t>
      </w:r>
      <w:r>
        <w:rPr>
          <w:rFonts w:hint="eastAsia" w:ascii="宋体" w:hAnsi="宋体" w:cs="宋体"/>
          <w:color w:val="auto"/>
          <w:sz w:val="24"/>
          <w:highlight w:val="none"/>
        </w:rPr>
        <w:t>中国招标投标公共服务平台（http://www.cebpubservice.com/）</w:t>
      </w:r>
      <w:r>
        <w:rPr>
          <w:rFonts w:hint="eastAsia" w:ascii="宋体" w:hAnsi="宋体" w:cs="宋体"/>
          <w:color w:val="auto"/>
          <w:sz w:val="24"/>
          <w:szCs w:val="24"/>
          <w:highlight w:val="none"/>
        </w:rPr>
        <w:t>、海易招电子招标投标交易平台（www.hyebid.cn）</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武夷发展集团网站（www.wuyijt.com）</w:t>
      </w:r>
      <w:r>
        <w:rPr>
          <w:rFonts w:hint="eastAsia" w:ascii="宋体" w:hAnsi="宋体" w:cs="宋体"/>
          <w:color w:val="auto"/>
          <w:sz w:val="24"/>
          <w:szCs w:val="24"/>
          <w:highlight w:val="none"/>
        </w:rPr>
        <w:t>发布的形式，通知所有潜在的投标人，并对其具有约束力。</w:t>
      </w:r>
    </w:p>
    <w:p>
      <w:pPr>
        <w:widowControl/>
        <w:shd w:val="clear" w:color="auto" w:fill="FFFFFF"/>
        <w:tabs>
          <w:tab w:val="left" w:pos="510"/>
          <w:tab w:val="left" w:pos="900"/>
          <w:tab w:val="left" w:pos="1100"/>
        </w:tabs>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7、保证金：</w:t>
      </w:r>
    </w:p>
    <w:p>
      <w:pPr>
        <w:widowControl/>
        <w:shd w:val="clear" w:color="auto" w:fill="FFFFFF"/>
        <w:tabs>
          <w:tab w:val="left" w:pos="510"/>
          <w:tab w:val="left" w:pos="900"/>
          <w:tab w:val="left" w:pos="1100"/>
        </w:tabs>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7.1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保证金提交的时间：提交投标文件截止时间前一个工作日下午17：00前到达指定帐户，否则视为放弃；</w:t>
      </w:r>
    </w:p>
    <w:p>
      <w:pPr>
        <w:widowControl/>
        <w:shd w:val="clear" w:color="auto" w:fill="FFFFFF"/>
        <w:tabs>
          <w:tab w:val="left" w:pos="510"/>
          <w:tab w:val="left" w:pos="900"/>
          <w:tab w:val="left" w:pos="1100"/>
        </w:tabs>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7.2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投标保证金提交的金额：详见《采购标的一览表》；</w:t>
      </w:r>
    </w:p>
    <w:p>
      <w:pPr>
        <w:widowControl/>
        <w:shd w:val="clear" w:color="auto" w:fill="FFFFFF"/>
        <w:tabs>
          <w:tab w:val="left" w:pos="510"/>
          <w:tab w:val="left" w:pos="900"/>
          <w:tab w:val="left" w:pos="1100"/>
        </w:tabs>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7.3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投标保证金的形式：</w:t>
      </w:r>
      <w:r>
        <w:rPr>
          <w:rFonts w:hint="eastAsia" w:ascii="宋体" w:hAnsi="宋体" w:cs="宋体"/>
          <w:color w:val="auto"/>
          <w:sz w:val="24"/>
          <w:szCs w:val="24"/>
          <w:highlight w:val="none"/>
        </w:rPr>
        <w:t>①由企业基本账户以电汇或银行转账的形式，汇到招标公告中招标人指定的投标保证金账户（</w:t>
      </w:r>
      <w:r>
        <w:rPr>
          <w:rFonts w:hint="eastAsia" w:ascii="宋体" w:hAnsi="宋体" w:cs="宋体"/>
          <w:color w:val="auto"/>
          <w:sz w:val="24"/>
          <w:highlight w:val="none"/>
        </w:rPr>
        <w:t>户名：南平市汇禾物业管理有限公司；帐号：</w:t>
      </w:r>
      <w:r>
        <w:rPr>
          <w:rFonts w:hint="eastAsia" w:ascii="宋体" w:hAnsi="宋体" w:cs="宋体"/>
          <w:color w:val="auto"/>
          <w:sz w:val="24"/>
          <w:highlight w:val="none"/>
          <w:lang w:val="en-US" w:eastAsia="zh-CN"/>
        </w:rPr>
        <w:t>1406040809600221463</w:t>
      </w:r>
      <w:r>
        <w:rPr>
          <w:rFonts w:hint="eastAsia" w:ascii="宋体" w:hAnsi="宋体" w:cs="宋体"/>
          <w:color w:val="auto"/>
          <w:sz w:val="24"/>
          <w:highlight w:val="none"/>
        </w:rPr>
        <w:t>；开户银行：</w:t>
      </w:r>
      <w:r>
        <w:rPr>
          <w:rFonts w:hint="eastAsia" w:ascii="宋体" w:hAnsi="宋体" w:cs="宋体"/>
          <w:color w:val="auto"/>
          <w:sz w:val="24"/>
          <w:highlight w:val="none"/>
          <w:lang w:val="en-US" w:eastAsia="zh-CN"/>
        </w:rPr>
        <w:t>中国工商银行股份有限公司建阳支行</w:t>
      </w:r>
      <w:r>
        <w:rPr>
          <w:rFonts w:hint="eastAsia" w:ascii="宋体" w:hAnsi="宋体" w:cs="宋体"/>
          <w:color w:val="auto"/>
          <w:sz w:val="24"/>
          <w:highlight w:val="none"/>
        </w:rPr>
        <w:t>）</w:t>
      </w:r>
      <w:r>
        <w:rPr>
          <w:rFonts w:hint="eastAsia" w:ascii="宋体" w:hAnsi="宋体" w:cs="宋体"/>
          <w:color w:val="auto"/>
          <w:sz w:val="24"/>
          <w:szCs w:val="24"/>
          <w:highlight w:val="none"/>
        </w:rPr>
        <w:t>，并应在电汇或银行转账单上的备注栏注明“项目名称可简写及合同包号”。[ a、投标人应认真核对账户信息，将投标保证金汇入以上账户，并自行承担因汇错投标保证金而产生的一切后果；b、投标截止时间前一个工作日下午17：00前到达指定帐户（</w:t>
      </w:r>
      <w:r>
        <w:rPr>
          <w:rFonts w:hint="eastAsia" w:ascii="宋体" w:hAnsi="宋体" w:cs="宋体"/>
          <w:b/>
          <w:bCs/>
          <w:color w:val="auto"/>
          <w:kern w:val="0"/>
          <w:sz w:val="24"/>
          <w:highlight w:val="none"/>
        </w:rPr>
        <w:t>以招标人提供的投标保证金接收账户所在银行出具的到账证明为准</w:t>
      </w:r>
      <w:r>
        <w:rPr>
          <w:rFonts w:hint="eastAsia" w:ascii="宋体" w:hAnsi="宋体" w:cs="宋体"/>
          <w:color w:val="auto"/>
          <w:sz w:val="24"/>
          <w:szCs w:val="24"/>
          <w:highlight w:val="none"/>
        </w:rPr>
        <w:t>），否则视为未缴纳投标保证金。]</w:t>
      </w:r>
    </w:p>
    <w:p>
      <w:pPr>
        <w:widowControl/>
        <w:shd w:val="clear" w:color="auto" w:fill="FFFFFF"/>
        <w:tabs>
          <w:tab w:val="left" w:pos="510"/>
          <w:tab w:val="left" w:pos="900"/>
          <w:tab w:val="left" w:pos="1100"/>
        </w:tabs>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②投标人以保函形式提交投标保证金的，</w:t>
      </w:r>
      <w:r>
        <w:rPr>
          <w:rFonts w:hint="eastAsia" w:ascii="宋体" w:hAnsi="宋体" w:cs="宋体"/>
          <w:color w:val="auto"/>
          <w:sz w:val="24"/>
          <w:highlight w:val="none"/>
        </w:rPr>
        <w:t>投标人应将保函原件随同投标文件一并</w:t>
      </w:r>
      <w:r>
        <w:rPr>
          <w:rFonts w:hint="eastAsia" w:ascii="宋体" w:hAnsi="宋体" w:cs="宋体"/>
          <w:color w:val="auto"/>
          <w:sz w:val="24"/>
          <w:szCs w:val="24"/>
          <w:highlight w:val="none"/>
        </w:rPr>
        <w:t>递交。</w:t>
      </w:r>
    </w:p>
    <w:p>
      <w:pPr>
        <w:widowControl/>
        <w:shd w:val="clear" w:color="auto" w:fill="FFFFFF"/>
        <w:tabs>
          <w:tab w:val="left" w:pos="510"/>
          <w:tab w:val="left" w:pos="900"/>
          <w:tab w:val="left" w:pos="1100"/>
        </w:tabs>
        <w:snapToGrid w:val="0"/>
        <w:spacing w:line="360" w:lineRule="auto"/>
        <w:ind w:firstLine="470" w:firstLineChars="19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中标人的投标保证金将自动转为履约保证金，不足部分，待收到中标通知书发出后的14个工作日之内并在合同签订前补齐。</w:t>
      </w:r>
      <w:r>
        <w:rPr>
          <w:rFonts w:hint="eastAsia" w:ascii="宋体" w:hAnsi="宋体" w:cs="宋体"/>
          <w:color w:val="auto"/>
          <w:sz w:val="24"/>
          <w:szCs w:val="24"/>
          <w:highlight w:val="none"/>
          <w:lang w:val="en-US" w:eastAsia="zh-CN"/>
        </w:rPr>
        <w:t>提交保函的投标人须按招标文件要求重新递交履约保证金。</w:t>
      </w:r>
    </w:p>
    <w:p>
      <w:pPr>
        <w:widowControl/>
        <w:snapToGrid w:val="0"/>
        <w:spacing w:line="360" w:lineRule="auto"/>
        <w:ind w:firstLine="470" w:firstLineChars="196"/>
        <w:rPr>
          <w:rFonts w:hint="eastAsia" w:ascii="宋体" w:hAnsi="宋体" w:cs="宋体"/>
          <w:b/>
          <w:bCs/>
          <w:color w:val="auto"/>
          <w:sz w:val="24"/>
          <w:highlight w:val="none"/>
        </w:rPr>
      </w:pPr>
      <w:r>
        <w:rPr>
          <w:rFonts w:hint="eastAsia" w:ascii="宋体" w:hAnsi="宋体" w:cs="宋体"/>
          <w:color w:val="auto"/>
          <w:sz w:val="24"/>
          <w:szCs w:val="24"/>
          <w:highlight w:val="none"/>
        </w:rPr>
        <w:t>8、</w:t>
      </w:r>
      <w:r>
        <w:rPr>
          <w:rFonts w:hint="eastAsia" w:ascii="宋体" w:hAnsi="宋体" w:cs="宋体"/>
          <w:b/>
          <w:bCs/>
          <w:color w:val="auto"/>
          <w:sz w:val="24"/>
          <w:highlight w:val="none"/>
        </w:rPr>
        <w:t>评标办法</w:t>
      </w:r>
    </w:p>
    <w:p>
      <w:pPr>
        <w:widowControl/>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本招标项目采用的评标办法：</w:t>
      </w:r>
      <w:r>
        <w:rPr>
          <w:rFonts w:hint="eastAsia" w:ascii="宋体" w:hAnsi="宋体" w:cs="宋体"/>
          <w:color w:val="auto"/>
          <w:sz w:val="24"/>
          <w:highlight w:val="none"/>
          <w:u w:val="single"/>
        </w:rPr>
        <w:t xml:space="preserve"> 综合评分法 </w:t>
      </w:r>
      <w:r>
        <w:rPr>
          <w:rFonts w:hint="eastAsia" w:ascii="宋体" w:hAnsi="宋体" w:cs="宋体"/>
          <w:color w:val="auto"/>
          <w:sz w:val="24"/>
          <w:highlight w:val="none"/>
        </w:rPr>
        <w:t>。</w:t>
      </w:r>
    </w:p>
    <w:p>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9、发布公告的媒体</w:t>
      </w:r>
    </w:p>
    <w:p>
      <w:pPr>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本次招标公告同时在中国招标投标公共服务平台（http://www.cebpubservice.com/）、海易招电子招标投标交易平台（www.hyebid.cn）</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武夷发展集团网站（www.wuyijt.com）</w:t>
      </w:r>
      <w:r>
        <w:rPr>
          <w:rFonts w:hint="eastAsia" w:ascii="宋体" w:hAnsi="宋体" w:cs="宋体"/>
          <w:color w:val="auto"/>
          <w:sz w:val="24"/>
          <w:highlight w:val="none"/>
        </w:rPr>
        <w:t>上发布。</w:t>
      </w:r>
    </w:p>
    <w:p>
      <w:pPr>
        <w:spacing w:line="360" w:lineRule="auto"/>
        <w:ind w:firstLine="472" w:firstLineChars="196"/>
        <w:rPr>
          <w:rFonts w:hint="eastAsia" w:ascii="宋体" w:hAnsi="宋体" w:cs="宋体"/>
          <w:b/>
          <w:color w:val="auto"/>
          <w:sz w:val="24"/>
          <w:highlight w:val="none"/>
        </w:rPr>
      </w:pPr>
      <w:r>
        <w:rPr>
          <w:rFonts w:hint="eastAsia" w:ascii="宋体" w:hAnsi="宋体" w:cs="宋体"/>
          <w:b/>
          <w:color w:val="auto"/>
          <w:sz w:val="24"/>
          <w:highlight w:val="none"/>
        </w:rPr>
        <w:t>10、联系人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招 标 人：</w:t>
      </w:r>
      <w:r>
        <w:rPr>
          <w:rFonts w:hint="eastAsia" w:ascii="宋体" w:hAnsi="宋体" w:cs="宋体"/>
          <w:color w:val="auto"/>
          <w:sz w:val="24"/>
          <w:highlight w:val="none"/>
          <w:lang w:eastAsia="zh-CN"/>
        </w:rPr>
        <w:t>南平市汇禾物业管理有限公司</w:t>
      </w:r>
      <w:r>
        <w:rPr>
          <w:rFonts w:hint="eastAsia" w:ascii="宋体" w:hAnsi="宋体" w:cs="宋体"/>
          <w:color w:val="auto"/>
          <w:sz w:val="24"/>
          <w:highlight w:val="none"/>
          <w:lang w:val="zh-CN"/>
        </w:rPr>
        <w:t xml:space="preserve">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址: </w:t>
      </w:r>
      <w:r>
        <w:rPr>
          <w:rFonts w:hint="eastAsia" w:ascii="宋体" w:hAnsi="宋体" w:cs="宋体"/>
          <w:color w:val="auto"/>
          <w:sz w:val="24"/>
          <w:highlight w:val="none"/>
          <w:lang w:val="zh-CN" w:eastAsia="zh-CN"/>
        </w:rPr>
        <w:t>福建省南平市建阳区福瑞路72号瑞锦苑3幢1层</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 xml:space="preserve">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邮    编：</w:t>
      </w:r>
      <w:r>
        <w:rPr>
          <w:rFonts w:hint="eastAsia" w:ascii="宋体" w:hAnsi="宋体" w:cs="宋体"/>
          <w:color w:val="auto"/>
          <w:sz w:val="24"/>
          <w:highlight w:val="none"/>
          <w:lang w:val="zh-CN"/>
        </w:rPr>
        <w:t>354200</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eastAsia="宋体" w:cs="宋体"/>
          <w:b w:val="0"/>
          <w:bCs w:val="0"/>
          <w:color w:val="auto"/>
          <w:kern w:val="2"/>
          <w:sz w:val="24"/>
          <w:szCs w:val="24"/>
          <w:highlight w:val="none"/>
          <w:lang w:val="en-US" w:eastAsia="zh-CN" w:bidi="ar-SA"/>
        </w:rPr>
        <w:t>18950605989</w:t>
      </w:r>
      <w:r>
        <w:rPr>
          <w:rFonts w:hint="eastAsia" w:ascii="宋体" w:hAnsi="宋体" w:cs="宋体"/>
          <w:color w:val="auto"/>
          <w:sz w:val="24"/>
          <w:highlight w:val="none"/>
        </w:rPr>
        <w:t xml:space="preserve">             </w:t>
      </w:r>
    </w:p>
    <w:p>
      <w:pPr>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 xml:space="preserve"> 联 系 人：</w:t>
      </w:r>
      <w:r>
        <w:rPr>
          <w:rFonts w:hint="eastAsia" w:ascii="宋体" w:hAnsi="宋体" w:eastAsia="宋体" w:cs="宋体"/>
          <w:b w:val="0"/>
          <w:bCs w:val="0"/>
          <w:color w:val="auto"/>
          <w:kern w:val="2"/>
          <w:sz w:val="24"/>
          <w:szCs w:val="24"/>
          <w:highlight w:val="none"/>
          <w:lang w:val="en-US" w:eastAsia="zh-CN" w:bidi="ar-SA"/>
        </w:rPr>
        <w:t>蔡女士</w:t>
      </w:r>
    </w:p>
    <w:p>
      <w:pPr>
        <w:adjustRightInd w:val="0"/>
        <w:spacing w:line="360" w:lineRule="auto"/>
        <w:rPr>
          <w:rFonts w:hint="eastAsia" w:ascii="宋体" w:hAnsi="宋体" w:cs="宋体"/>
          <w:color w:val="auto"/>
          <w:sz w:val="24"/>
          <w:highlight w:val="none"/>
          <w:lang w:val="zh-CN"/>
        </w:rPr>
      </w:pPr>
    </w:p>
    <w:p>
      <w:pPr>
        <w:adjustRightIn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招标代理机构：</w:t>
      </w:r>
      <w:r>
        <w:rPr>
          <w:rFonts w:hint="eastAsia" w:ascii="宋体" w:hAnsi="宋体" w:cs="宋体"/>
          <w:color w:val="auto"/>
          <w:sz w:val="24"/>
          <w:highlight w:val="none"/>
        </w:rPr>
        <w:t>福建晖源工程咨询有限公司</w:t>
      </w:r>
    </w:p>
    <w:p>
      <w:pPr>
        <w:adjustRightIn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地  址：</w:t>
      </w:r>
      <w:r>
        <w:rPr>
          <w:rFonts w:hint="eastAsia" w:ascii="宋体" w:hAnsi="宋体" w:cs="宋体"/>
          <w:color w:val="auto"/>
          <w:sz w:val="24"/>
          <w:szCs w:val="24"/>
          <w:lang w:val="en-US" w:eastAsia="zh-CN"/>
        </w:rPr>
        <w:t>福建省南平市建阳区顺昌街213号祥乐苑15幢一层</w:t>
      </w:r>
      <w:r>
        <w:rPr>
          <w:rFonts w:hint="eastAsia" w:ascii="宋体" w:hAnsi="宋体" w:cs="宋体"/>
          <w:color w:val="auto"/>
          <w:sz w:val="24"/>
          <w:highlight w:val="none"/>
          <w:lang w:val="zh-CN"/>
        </w:rPr>
        <w:t xml:space="preserve">  </w:t>
      </w:r>
    </w:p>
    <w:p>
      <w:pPr>
        <w:adjustRightIn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邮  编：354200</w:t>
      </w:r>
    </w:p>
    <w:p>
      <w:pPr>
        <w:adjustRightIn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电  话：</w:t>
      </w:r>
      <w:r>
        <w:rPr>
          <w:rFonts w:hint="eastAsia" w:ascii="宋体" w:hAnsi="宋体" w:cs="宋体"/>
          <w:color w:val="auto"/>
          <w:sz w:val="24"/>
          <w:highlight w:val="none"/>
          <w:lang w:val="en-US" w:eastAsia="zh-CN"/>
        </w:rPr>
        <w:t>0599-5622881，15159450913</w:t>
      </w:r>
      <w:r>
        <w:rPr>
          <w:rFonts w:hint="eastAsia" w:ascii="宋体" w:hAnsi="宋体" w:cs="宋体"/>
          <w:color w:val="auto"/>
          <w:sz w:val="24"/>
          <w:highlight w:val="none"/>
          <w:lang w:val="zh-CN"/>
        </w:rPr>
        <w:t xml:space="preserve">                              </w:t>
      </w:r>
    </w:p>
    <w:p>
      <w:pPr>
        <w:adjustRightIn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联系人：方先生 </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05E19"/>
    <w:multiLevelType w:val="singleLevel"/>
    <w:tmpl w:val="85A05E1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976C79"/>
    <w:rsid w:val="309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rFonts w:ascii="Times New Roman" w:hAnsi="Times New Roman"/>
      <w:kern w:val="28"/>
      <w:szCs w:val="20"/>
    </w:rPr>
  </w:style>
  <w:style w:type="paragraph" w:styleId="3">
    <w:name w:val="Normal Indent"/>
    <w:basedOn w:val="1"/>
    <w:qFormat/>
    <w:uiPriority w:val="0"/>
    <w:pPr>
      <w:adjustRightInd w:val="0"/>
      <w:spacing w:line="360" w:lineRule="atLeast"/>
      <w:ind w:firstLine="420"/>
      <w:textAlignment w:val="baseline"/>
    </w:pPr>
    <w:rPr>
      <w:szCs w:val="20"/>
    </w:rPr>
  </w:style>
  <w:style w:type="paragraph" w:styleId="4">
    <w:name w:val="Body Text"/>
    <w:basedOn w:val="1"/>
    <w:next w:val="1"/>
    <w:qFormat/>
    <w:uiPriority w:val="99"/>
    <w:pPr>
      <w:spacing w:after="120"/>
    </w:pPr>
    <w:rPr>
      <w:rFonts w:ascii="Times New Roman" w:hAnsi="Times New Roman"/>
      <w:szCs w:val="24"/>
    </w:rPr>
  </w:style>
  <w:style w:type="paragraph" w:styleId="5">
    <w:name w:val="Body Text Indent"/>
    <w:basedOn w:val="1"/>
    <w:next w:val="1"/>
    <w:qFormat/>
    <w:uiPriority w:val="0"/>
    <w:pPr>
      <w:spacing w:after="120"/>
      <w:ind w:left="420" w:leftChars="200"/>
    </w:pPr>
  </w:style>
  <w:style w:type="paragraph" w:styleId="6">
    <w:name w:val="Body Text First Indent 2"/>
    <w:basedOn w:val="5"/>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2025-11-26T00:25:00Z</dcterms:created>
  <dc:creator>lenovo</dc:creator>
  <cp:lastModifiedBy>lenovo</cp:lastModifiedBy>
  <dcterms:modified xsi:type="dcterms:W3CDTF">2025-11-26T00:26:24Z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