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2E" w:rsidRDefault="0073373D">
      <w:pPr>
        <w:pStyle w:val="a4"/>
        <w:spacing w:before="370" w:line="219" w:lineRule="auto"/>
        <w:jc w:val="center"/>
        <w:outlineLvl w:val="0"/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spacing w:val="-8"/>
          <w:sz w:val="44"/>
          <w:szCs w:val="44"/>
          <w:lang w:eastAsia="zh-CN"/>
        </w:rPr>
        <w:t>高岭土原矿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spacing w:val="-8"/>
          <w:sz w:val="44"/>
          <w:szCs w:val="44"/>
          <w:lang w:eastAsia="zh-CN"/>
        </w:rPr>
        <w:t>订购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spacing w:val="-8"/>
          <w:sz w:val="44"/>
          <w:szCs w:val="44"/>
          <w:lang w:eastAsia="zh-CN"/>
        </w:rPr>
        <w:t>合同</w:t>
      </w:r>
    </w:p>
    <w:p w:rsidR="00D52B68" w:rsidRDefault="00D52B68" w:rsidP="00D52B68">
      <w:pPr>
        <w:spacing w:line="277" w:lineRule="auto"/>
        <w:ind w:firstLineChars="200" w:firstLine="480"/>
        <w:jc w:val="right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</w:p>
    <w:p w:rsidR="00F4132E" w:rsidRPr="00D52B68" w:rsidRDefault="0073373D" w:rsidP="00D52B68">
      <w:pPr>
        <w:spacing w:line="277" w:lineRule="auto"/>
        <w:ind w:firstLineChars="200" w:firstLine="480"/>
        <w:jc w:val="right"/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</w:pP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合同号：南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茶洋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原矿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销售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[202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5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]0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**</w:t>
      </w:r>
      <w:r w:rsidRPr="00D52B68"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号</w:t>
      </w:r>
    </w:p>
    <w:p w:rsidR="00723E96" w:rsidRDefault="00723E96" w:rsidP="00723E96">
      <w:pPr>
        <w:pStyle w:val="a4"/>
        <w:spacing w:before="91" w:line="221" w:lineRule="auto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</w:p>
    <w:p w:rsidR="00F4132E" w:rsidRDefault="0073373D" w:rsidP="00276B0F">
      <w:pPr>
        <w:pStyle w:val="a4"/>
        <w:spacing w:before="91"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甲方：</w:t>
      </w:r>
      <w:r w:rsidR="00D52B68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(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采购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)</w:t>
      </w:r>
    </w:p>
    <w:p w:rsidR="00F4132E" w:rsidRDefault="0073373D" w:rsidP="00276B0F">
      <w:pPr>
        <w:pStyle w:val="a4"/>
        <w:spacing w:before="314"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positio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position w:val="2"/>
          <w:sz w:val="32"/>
          <w:szCs w:val="32"/>
          <w:lang w:eastAsia="zh-CN"/>
        </w:rPr>
        <w:t>地址：</w:t>
      </w:r>
      <w:bookmarkStart w:id="0" w:name="_GoBack"/>
      <w:bookmarkEnd w:id="0"/>
    </w:p>
    <w:p w:rsidR="00F4132E" w:rsidRDefault="0073373D" w:rsidP="00276B0F">
      <w:pPr>
        <w:pStyle w:val="a4"/>
        <w:spacing w:before="314"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positio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position w:val="2"/>
          <w:sz w:val="32"/>
          <w:szCs w:val="32"/>
          <w:lang w:eastAsia="zh-CN"/>
        </w:rPr>
        <w:t>联系电话：</w:t>
      </w:r>
    </w:p>
    <w:p w:rsidR="00F4132E" w:rsidRPr="00723E96" w:rsidRDefault="00F4132E" w:rsidP="00276B0F">
      <w:pPr>
        <w:pStyle w:val="a4"/>
        <w:spacing w:before="314"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position w:val="2"/>
          <w:sz w:val="32"/>
          <w:szCs w:val="32"/>
          <w:lang w:eastAsia="zh-CN"/>
        </w:rPr>
      </w:pPr>
    </w:p>
    <w:p w:rsidR="00F4132E" w:rsidRDefault="0073373D" w:rsidP="00276B0F">
      <w:pPr>
        <w:pStyle w:val="a4"/>
        <w:spacing w:before="314"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position w:val="2"/>
          <w:sz w:val="32"/>
          <w:szCs w:val="32"/>
          <w:lang w:eastAsia="zh-CN"/>
        </w:rPr>
        <w:t>乙</w:t>
      </w:r>
      <w:r>
        <w:rPr>
          <w:rFonts w:ascii="仿宋_GB2312" w:eastAsia="仿宋_GB2312" w:hAnsi="仿宋_GB2312" w:cs="仿宋_GB2312" w:hint="eastAsia"/>
          <w:color w:val="auto"/>
          <w:position w:val="2"/>
          <w:sz w:val="32"/>
          <w:szCs w:val="32"/>
          <w:lang w:eastAsia="zh-CN"/>
        </w:rPr>
        <w:t>方：</w:t>
      </w:r>
      <w:r>
        <w:rPr>
          <w:rFonts w:ascii="仿宋_GB2312" w:eastAsia="仿宋_GB2312" w:hAnsi="仿宋_GB2312" w:cs="仿宋_GB2312" w:hint="eastAsia"/>
          <w:b/>
          <w:bCs/>
          <w:color w:val="auto"/>
          <w:position w:val="-1"/>
          <w:sz w:val="32"/>
          <w:szCs w:val="32"/>
          <w:u w:val="single"/>
          <w:lang w:eastAsia="zh-CN"/>
        </w:rPr>
        <w:t>南平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auto"/>
          <w:position w:val="-1"/>
          <w:sz w:val="32"/>
          <w:szCs w:val="32"/>
          <w:u w:val="single"/>
          <w:lang w:eastAsia="zh-CN"/>
        </w:rPr>
        <w:t>市茶洋矿业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auto"/>
          <w:position w:val="-1"/>
          <w:sz w:val="32"/>
          <w:szCs w:val="32"/>
          <w:u w:val="single"/>
          <w:lang w:eastAsia="zh-CN"/>
        </w:rPr>
        <w:t>有限公司</w:t>
      </w:r>
      <w:r w:rsidR="00D52B68" w:rsidRPr="00D52B68">
        <w:rPr>
          <w:rFonts w:ascii="仿宋_GB2312" w:eastAsia="仿宋_GB2312" w:hAnsi="仿宋_GB2312" w:cs="仿宋_GB2312" w:hint="eastAsia"/>
          <w:b/>
          <w:bCs/>
          <w:color w:val="auto"/>
          <w:position w:val="-1"/>
          <w:sz w:val="32"/>
          <w:szCs w:val="32"/>
          <w:lang w:eastAsia="zh-CN"/>
        </w:rPr>
        <w:t xml:space="preserve">            </w:t>
      </w:r>
      <w:r w:rsidR="00D52B68">
        <w:rPr>
          <w:rFonts w:ascii="仿宋_GB2312" w:eastAsia="仿宋_GB2312" w:hAnsi="仿宋_GB2312" w:cs="仿宋_GB2312" w:hint="eastAsia"/>
          <w:color w:val="auto"/>
          <w:position w:val="2"/>
          <w:sz w:val="32"/>
          <w:szCs w:val="32"/>
          <w:lang w:eastAsia="zh-CN"/>
        </w:rPr>
        <w:t>(销售方)</w:t>
      </w:r>
    </w:p>
    <w:p w:rsidR="00F4132E" w:rsidRDefault="0073373D" w:rsidP="00276B0F">
      <w:pPr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地址：</w:t>
      </w:r>
    </w:p>
    <w:p w:rsidR="00F4132E" w:rsidRDefault="0073373D" w:rsidP="00276B0F">
      <w:pPr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联系电话：</w:t>
      </w:r>
    </w:p>
    <w:p w:rsidR="00F4132E" w:rsidRDefault="00F4132E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根据《中华人民共和国民法典》及有关法律、法规规定，甲、乙双方本着平等、自愿、公平、互惠互利和诚实守信的原则，就产品供销的有关事宜协商一致订立本合同，以便共同遵守。</w:t>
      </w:r>
    </w:p>
    <w:p w:rsidR="00F4132E" w:rsidRDefault="0073373D" w:rsidP="00276B0F">
      <w:pPr>
        <w:pStyle w:val="a4"/>
        <w:spacing w:before="82" w:line="540" w:lineRule="exact"/>
        <w:ind w:left="653"/>
        <w:jc w:val="both"/>
        <w:outlineLvl w:val="3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一、产品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的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名称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产品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质量</w:t>
      </w:r>
    </w:p>
    <w:p w:rsidR="00F4132E" w:rsidRDefault="0073373D" w:rsidP="00276B0F">
      <w:pPr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产品名称：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  <w:lang w:eastAsia="zh-CN"/>
        </w:rPr>
        <w:t>标准高岭土原矿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乙方保证所提供的产品货真价实、来源合法，无任何法律纠纷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3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甲方现场察看或取样检测完，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即甲方认同原矿产品符合质量要求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</w:p>
    <w:p w:rsidR="00F4132E" w:rsidRDefault="0073373D" w:rsidP="00276B0F">
      <w:pPr>
        <w:pStyle w:val="a4"/>
        <w:spacing w:before="88" w:line="540" w:lineRule="exact"/>
        <w:ind w:left="633"/>
        <w:jc w:val="both"/>
        <w:outlineLvl w:val="3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lastRenderedPageBreak/>
        <w:t>二、合同价款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履约保证金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及付款方式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本合同采购单价为人民币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元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/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吨，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本批次计划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采购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总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量为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吨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(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具体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结算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金额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以实际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过磅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数量进行结算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)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合同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提货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期限：合同签订之日起至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日，最迟于前述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期限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届满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前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十五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日提运完毕。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3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合同履约保证金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10000.00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元（壹万元整），于签订合同前转入乙方指定账户，履约保证金不作为采购货款。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4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合同期限届满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若双方仍有合作意向，需经双方协商后根据市场价格重新签订购销合同。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5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支付与结算：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实行款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到发货原则，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采购方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进场运输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前缴存货款。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最终以实际过磅数量进行结算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合同期限届满后甲方无违约行为，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履约保证金不计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息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退还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</w:p>
    <w:p w:rsidR="00F4132E" w:rsidRDefault="0073373D" w:rsidP="00276B0F">
      <w:pPr>
        <w:pStyle w:val="a4"/>
        <w:spacing w:before="88" w:line="540" w:lineRule="exact"/>
        <w:ind w:left="633"/>
        <w:jc w:val="both"/>
        <w:outlineLvl w:val="3"/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三、产品交货方法、运输方式及交货地点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甲方进场前将本批次计划采购数量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货款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预存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乙方指定银行账户，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运输前一日报备进场车辆号牌。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乙方负责装车；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交货地点：乙方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采场或堆场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；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3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所有物料的运输、安全及环保等事宜及相关费用均由甲方自行负责。甲方在运输过程中必须遵守国家及地方相关法律法规，如因运输造成道路损坏或环境污染，由甲方承担全部责任。货物交付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后运输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过程中的风险由甲方承担。</w:t>
      </w:r>
    </w:p>
    <w:p w:rsidR="00F4132E" w:rsidRDefault="0073373D" w:rsidP="00276B0F">
      <w:pPr>
        <w:pStyle w:val="a4"/>
        <w:spacing w:before="88" w:line="540" w:lineRule="exact"/>
        <w:ind w:left="633"/>
        <w:jc w:val="both"/>
        <w:outlineLvl w:val="3"/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四、违约责任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1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甲乙双方均应全面履行本合同约定，一方违约给另一方造成损失的，应赔偿甲方当批交易总额的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10%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方逾期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提货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，每逾期一日，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方应按当批交易总额的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0.05%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支付违约金，逾期超过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日，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乙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方有权单方解除合同，且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方除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需按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上述标准支付逾期期间的违约金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外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乙方还有权没收甲方履约保证金。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3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因一方违约而发生诉讼，违约方应承担守约方的诉讼费用（包括但不限于案件受理费、执行费、律师代理费、差旅费、诉讼保全保险费、保全费等）。</w:t>
      </w:r>
    </w:p>
    <w:p w:rsidR="00F4132E" w:rsidRDefault="0073373D" w:rsidP="00276B0F">
      <w:pPr>
        <w:pStyle w:val="a4"/>
        <w:spacing w:before="88" w:line="540" w:lineRule="exact"/>
        <w:ind w:left="633"/>
        <w:jc w:val="both"/>
        <w:outlineLvl w:val="3"/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五、争议解决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未尽事宜双方协商解决，如有争议双方同意提交南平仲裁委员会进行仲裁。相关法律文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书的送交以邮递送达本合同记载的双方当事人住所地（如有变更，应书面通知对方）即视为送达。</w:t>
      </w:r>
    </w:p>
    <w:p w:rsidR="00F4132E" w:rsidRDefault="0073373D" w:rsidP="00276B0F">
      <w:pPr>
        <w:pStyle w:val="a4"/>
        <w:spacing w:before="88" w:line="540" w:lineRule="exact"/>
        <w:ind w:left="633"/>
        <w:jc w:val="both"/>
        <w:outlineLvl w:val="3"/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六、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eastAsia="zh-CN"/>
        </w:rPr>
        <w:t>其他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本合同一式贰份，双方各执壹份，具有同等法律效力。本合同自甲、乙双方法定代表人或委托代理人签字并加盖公章之日起生效。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</w:t>
      </w:r>
      <w:r w:rsidR="00FC63F5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甲、乙双方共同确认本合同载明的联系方式真实有效。若一方以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EMS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等函件方式发送通知的，发出后第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日即视为送达。如诉讼，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该联系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方式亦为法院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或仲裁委员会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通知及送达法律文书的有效联系方式。双方确认如有变动应及时书面通知对方，否则造成有关文书无法送达的，视同已经送达，由此产生的法律责任由变更方自行承担。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sectPr w:rsidR="00F4132E">
          <w:footerReference w:type="default" r:id="rId8"/>
          <w:pgSz w:w="11910" w:h="16840"/>
          <w:pgMar w:top="1440" w:right="1800" w:bottom="1440" w:left="1800" w:header="0" w:footer="1681" w:gutter="0"/>
          <w:cols w:space="720"/>
        </w:sect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(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以下无正文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为各方签字盖章页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)</w:t>
      </w:r>
    </w:p>
    <w:p w:rsidR="00F4132E" w:rsidRDefault="00F4132E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</w:p>
    <w:p w:rsidR="00276B0F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甲方：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法定代表人或委托代理人：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签订时间：</w:t>
      </w:r>
    </w:p>
    <w:p w:rsidR="00F4132E" w:rsidRDefault="00F4132E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乙方：南平市茶洋矿业有限公司</w:t>
      </w:r>
    </w:p>
    <w:p w:rsidR="00F4132E" w:rsidRDefault="0073373D" w:rsidP="00276B0F">
      <w:pPr>
        <w:pStyle w:val="a4"/>
        <w:tabs>
          <w:tab w:val="left" w:pos="140"/>
        </w:tabs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法定代表人或委托代理人：</w:t>
      </w:r>
    </w:p>
    <w:p w:rsidR="00F4132E" w:rsidRDefault="0073373D" w:rsidP="00276B0F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签订时间：</w:t>
      </w:r>
    </w:p>
    <w:sectPr w:rsidR="00F4132E">
      <w:type w:val="continuous"/>
      <w:pgSz w:w="11910" w:h="16840"/>
      <w:pgMar w:top="1431" w:right="560" w:bottom="1892" w:left="1319" w:header="0" w:footer="1666" w:gutter="0"/>
      <w:cols w:space="720" w:equalWidth="0">
        <w:col w:w="100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3D" w:rsidRDefault="0073373D">
      <w:r>
        <w:separator/>
      </w:r>
    </w:p>
  </w:endnote>
  <w:endnote w:type="continuationSeparator" w:id="0">
    <w:p w:rsidR="0073373D" w:rsidRDefault="0073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086D9CCE-9D53-414A-9980-E2D969E72BE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78E56F9-060E-4F32-AECF-AC28A115712A}"/>
    <w:embedBold r:id="rId3" w:subsetted="1" w:fontKey="{EF043A77-DECB-4BF7-A00B-2E24B16DA6C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2E" w:rsidRDefault="0073373D">
    <w:pPr>
      <w:pStyle w:val="a4"/>
      <w:spacing w:line="208" w:lineRule="auto"/>
      <w:ind w:left="3950"/>
      <w:rPr>
        <w:sz w:val="17"/>
        <w:szCs w:val="17"/>
      </w:rPr>
    </w:pPr>
    <w:r w:rsidRPr="00276B0F">
      <w:rPr>
        <w:noProof/>
        <w:sz w:val="17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8CE4A" wp14:editId="76EEEB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32E" w:rsidRDefault="0073373D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D31E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9D31E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4132E" w:rsidRDefault="0073373D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D31E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9D31E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3D" w:rsidRDefault="0073373D">
      <w:r>
        <w:separator/>
      </w:r>
    </w:p>
  </w:footnote>
  <w:footnote w:type="continuationSeparator" w:id="0">
    <w:p w:rsidR="0073373D" w:rsidRDefault="0073373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 x x">
    <w15:presenceInfo w15:providerId="WPS Office" w15:userId="1557070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F4132E"/>
    <w:rsid w:val="001C7D0F"/>
    <w:rsid w:val="00276B0F"/>
    <w:rsid w:val="004028BE"/>
    <w:rsid w:val="00723E96"/>
    <w:rsid w:val="0073373D"/>
    <w:rsid w:val="009D31E5"/>
    <w:rsid w:val="00D52B68"/>
    <w:rsid w:val="00F4132E"/>
    <w:rsid w:val="00FC63F5"/>
    <w:rsid w:val="037E4FBC"/>
    <w:rsid w:val="05C858BA"/>
    <w:rsid w:val="1C087366"/>
    <w:rsid w:val="1C744D56"/>
    <w:rsid w:val="1CA64716"/>
    <w:rsid w:val="25522177"/>
    <w:rsid w:val="29C26BDB"/>
    <w:rsid w:val="2CD52A77"/>
    <w:rsid w:val="303920F7"/>
    <w:rsid w:val="30986E0D"/>
    <w:rsid w:val="30AB6B41"/>
    <w:rsid w:val="37503B15"/>
    <w:rsid w:val="3B082DE1"/>
    <w:rsid w:val="3F381EE7"/>
    <w:rsid w:val="503264DF"/>
    <w:rsid w:val="5EB34C8F"/>
    <w:rsid w:val="60CE5DB0"/>
    <w:rsid w:val="61982CFE"/>
    <w:rsid w:val="65AE61B0"/>
    <w:rsid w:val="67267B49"/>
    <w:rsid w:val="67656D42"/>
    <w:rsid w:val="67BD7F02"/>
    <w:rsid w:val="6942733B"/>
    <w:rsid w:val="6ED8429D"/>
    <w:rsid w:val="7A8772A3"/>
    <w:rsid w:val="7E1537E0"/>
    <w:rsid w:val="7E8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宋体" w:eastAsia="宋体" w:hAnsi="宋体" w:cs="宋体"/>
      <w:sz w:val="27"/>
      <w:szCs w:val="27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"/>
    <w:rsid w:val="00723E96"/>
    <w:rPr>
      <w:sz w:val="18"/>
      <w:szCs w:val="18"/>
    </w:rPr>
  </w:style>
  <w:style w:type="character" w:customStyle="1" w:styleId="Char">
    <w:name w:val="批注框文本 Char"/>
    <w:basedOn w:val="a0"/>
    <w:link w:val="a7"/>
    <w:rsid w:val="00723E96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宋体" w:eastAsia="宋体" w:hAnsi="宋体" w:cs="宋体"/>
      <w:sz w:val="27"/>
      <w:szCs w:val="27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"/>
    <w:rsid w:val="00723E96"/>
    <w:rPr>
      <w:sz w:val="18"/>
      <w:szCs w:val="18"/>
    </w:rPr>
  </w:style>
  <w:style w:type="character" w:customStyle="1" w:styleId="Char">
    <w:name w:val="批注框文本 Char"/>
    <w:basedOn w:val="a0"/>
    <w:link w:val="a7"/>
    <w:rsid w:val="00723E9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</cp:lastModifiedBy>
  <cp:revision>8</cp:revision>
  <cp:lastPrinted>2025-11-20T07:44:00Z</cp:lastPrinted>
  <dcterms:created xsi:type="dcterms:W3CDTF">2025-11-20T07:37:00Z</dcterms:created>
  <dcterms:modified xsi:type="dcterms:W3CDTF">2025-11-20T07:44:00Z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2025-11-14T11:17:41Z</vt:filetime>
  </property>
  <property fmtid="{D5CDD505-2E9C-101B-9397-08002B2CF9AE}" pid="4" name="UsrData">
    <vt:lpwstr>69169f53d75697001facae4ewl</vt:lpwstr>
  </property>
  <property fmtid="{D5CDD505-2E9C-101B-9397-08002B2CF9AE}" pid="5" name="KSOTemplateDocerSaveRecord">
    <vt:lpwstr>eyJoZGlkIjoiZGY2YjZiZWRlYjViMDViMzY5NGUwNjViYjVlMmM2YzYiLCJ1c2VySWQiOiIyNzkyMDI3MjcifQ==</vt:lpwstr>
  </property>
  <property fmtid="{D5CDD505-2E9C-101B-9397-08002B2CF9AE}" pid="6" name="KSOProductBuildVer">
    <vt:lpwstr>2052-12.1.0.23542</vt:lpwstr>
  </property>
  <property fmtid="{D5CDD505-2E9C-101B-9397-08002B2CF9AE}" pid="7" name="ICV">
    <vt:lpwstr>AE9D3452CF2A4093BD10150836825303_13</vt:lpwstr>
  </property>
</Properties>
</file>