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4CB8C">
      <w:pPr>
        <w:pStyle w:val="2"/>
        <w:rPr>
          <w:rFonts w:ascii="仿宋" w:hAnsi="仿宋" w:eastAsia="仿宋" w:cs="方正小标宋简体"/>
          <w:color w:val="000000" w:themeColor="text1"/>
          <w:sz w:val="32"/>
          <w:szCs w:val="32"/>
          <w14:textFill>
            <w14:solidFill>
              <w14:schemeClr w14:val="tx1"/>
            </w14:solidFill>
          </w14:textFill>
        </w:rPr>
      </w:pPr>
      <w:bookmarkStart w:id="0" w:name="_Toc486924194"/>
      <w:r>
        <w:rPr>
          <w:rFonts w:hint="eastAsia" w:ascii="仿宋" w:hAnsi="仿宋" w:eastAsia="仿宋" w:cs="方正小标宋简体"/>
          <w:color w:val="000000" w:themeColor="text1"/>
          <w:sz w:val="32"/>
          <w:szCs w:val="32"/>
          <w14:textFill>
            <w14:solidFill>
              <w14:schemeClr w14:val="tx1"/>
            </w14:solidFill>
          </w14:textFill>
        </w:rPr>
        <w:t>第一章</w:t>
      </w:r>
      <w:bookmarkEnd w:id="0"/>
      <w:r>
        <w:rPr>
          <w:rFonts w:hint="eastAsia" w:ascii="仿宋" w:hAnsi="仿宋" w:eastAsia="仿宋" w:cs="方正小标宋简体"/>
          <w:color w:val="000000" w:themeColor="text1"/>
          <w:sz w:val="32"/>
          <w:szCs w:val="32"/>
          <w14:textFill>
            <w14:solidFill>
              <w14:schemeClr w14:val="tx1"/>
            </w14:solidFill>
          </w14:textFill>
        </w:rPr>
        <w:t>公告</w:t>
      </w:r>
    </w:p>
    <w:p w14:paraId="1E5144FC">
      <w:pPr>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2025-2027年</w:t>
      </w:r>
      <w:r>
        <w:rPr>
          <w:rFonts w:hint="eastAsia" w:ascii="仿宋" w:hAnsi="仿宋" w:eastAsia="仿宋"/>
          <w:b/>
          <w:bCs/>
          <w:color w:val="000000" w:themeColor="text1"/>
          <w:sz w:val="32"/>
          <w:szCs w:val="32"/>
          <w14:textFill>
            <w14:solidFill>
              <w14:schemeClr w14:val="tx1"/>
            </w14:solidFill>
          </w14:textFill>
        </w:rPr>
        <w:t>龙浦高速、武邵高速、延顺高速、邵光高速、顺邵高速、南平联络线高速消防设施类班组选择公告</w:t>
      </w:r>
    </w:p>
    <w:p w14:paraId="6C1AA1E2">
      <w:pPr>
        <w:spacing w:line="360" w:lineRule="auto"/>
        <w:ind w:firstLine="624"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u w:val="single"/>
          <w:lang w:val="en-US" w:eastAsia="zh-CN"/>
          <w14:textFill>
            <w14:solidFill>
              <w14:schemeClr w14:val="tx1"/>
            </w14:solidFill>
          </w14:textFill>
        </w:rPr>
        <w:t>2025-2027</w:t>
      </w:r>
      <w:r>
        <w:rPr>
          <w:rFonts w:hint="eastAsia" w:ascii="仿宋_GB2312" w:hAnsi="仿宋_GB2312" w:eastAsia="仿宋_GB2312" w:cs="仿宋_GB2312"/>
          <w:b w:val="0"/>
          <w:bCs w:val="0"/>
          <w:color w:val="000000" w:themeColor="text1"/>
          <w:spacing w:val="-4"/>
          <w:sz w:val="32"/>
          <w:szCs w:val="32"/>
          <w:u w:val="single"/>
          <w14:textFill>
            <w14:solidFill>
              <w14:schemeClr w14:val="tx1"/>
            </w14:solidFill>
          </w14:textFill>
        </w:rPr>
        <w:t>龙浦高速、武邵高速、延顺高速、邵光高速、顺邵高速、南平联络线高速消防设施类</w:t>
      </w:r>
      <w:r>
        <w:rPr>
          <w:rFonts w:hint="eastAsia" w:ascii="仿宋_GB2312" w:hAnsi="仿宋_GB2312" w:eastAsia="仿宋_GB2312" w:cs="仿宋_GB2312"/>
          <w:color w:val="000000" w:themeColor="text1"/>
          <w:spacing w:val="-4"/>
          <w:sz w:val="32"/>
          <w:szCs w:val="32"/>
          <w:u w:val="single"/>
          <w14:textFill>
            <w14:solidFill>
              <w14:schemeClr w14:val="tx1"/>
            </w14:solidFill>
          </w14:textFill>
        </w:rPr>
        <w:t>工程</w:t>
      </w:r>
      <w:r>
        <w:rPr>
          <w:rFonts w:hint="eastAsia" w:ascii="仿宋_GB2312" w:hAnsi="仿宋_GB2312" w:eastAsia="仿宋_GB2312" w:cs="仿宋_GB2312"/>
          <w:color w:val="000000" w:themeColor="text1"/>
          <w:spacing w:val="-4"/>
          <w:sz w:val="32"/>
          <w:szCs w:val="32"/>
          <w14:textFill>
            <w14:solidFill>
              <w14:schemeClr w14:val="tx1"/>
            </w14:solidFill>
          </w14:textFill>
        </w:rPr>
        <w:t>由南平武夷</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发展</w:t>
      </w:r>
      <w:r>
        <w:rPr>
          <w:rFonts w:hint="eastAsia" w:ascii="仿宋_GB2312" w:hAnsi="仿宋_GB2312" w:eastAsia="仿宋_GB2312" w:cs="仿宋_GB2312"/>
          <w:color w:val="000000" w:themeColor="text1"/>
          <w:spacing w:val="-4"/>
          <w:sz w:val="32"/>
          <w:szCs w:val="32"/>
          <w14:textFill>
            <w14:solidFill>
              <w14:schemeClr w14:val="tx1"/>
            </w14:solidFill>
          </w14:textFill>
        </w:rPr>
        <w:t>集团所属子公司南平市高建养护工程有限公司承建。现根据</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南武发工【2023】30号</w:t>
      </w:r>
      <w:r>
        <w:rPr>
          <w:rFonts w:hint="eastAsia" w:ascii="仿宋_GB2312" w:hAnsi="仿宋_GB2312" w:eastAsia="仿宋_GB2312" w:cs="仿宋_GB2312"/>
          <w:color w:val="000000" w:themeColor="text1"/>
          <w:spacing w:val="-4"/>
          <w:sz w:val="32"/>
          <w:szCs w:val="32"/>
          <w14:textFill>
            <w14:solidFill>
              <w14:schemeClr w14:val="tx1"/>
            </w14:solidFill>
          </w14:textFill>
        </w:rPr>
        <w:t>《</w:t>
      </w:r>
      <w:r>
        <w:rPr>
          <w:rFonts w:hint="eastAsia" w:ascii="仿宋_GB2312" w:hAnsi="仿宋_GB2312" w:eastAsia="仿宋_GB2312" w:cs="仿宋_GB2312"/>
          <w:color w:val="000000"/>
          <w:spacing w:val="-4"/>
          <w:sz w:val="32"/>
          <w:szCs w:val="32"/>
        </w:rPr>
        <w:t>工程劳务施工班组选择管理办法（试行</w:t>
      </w:r>
      <w:r>
        <w:rPr>
          <w:rFonts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themeColor="text1"/>
          <w:spacing w:val="-4"/>
          <w:sz w:val="32"/>
          <w:szCs w:val="32"/>
          <w14:textFill>
            <w14:solidFill>
              <w14:schemeClr w14:val="tx1"/>
            </w14:solidFill>
          </w14:textFill>
        </w:rPr>
        <w:t>》，制定如下选择方案。</w:t>
      </w:r>
    </w:p>
    <w:p w14:paraId="7F55D399">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一、项目概况</w:t>
      </w:r>
    </w:p>
    <w:p w14:paraId="4BAB97EE">
      <w:pPr>
        <w:spacing w:line="580" w:lineRule="exact"/>
        <w:ind w:firstLine="640" w:firstLineChars="200"/>
        <w:rPr>
          <w:rFonts w:ascii="仿宋" w:hAnsi="仿宋" w:eastAsia="仿宋"/>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p>
    <w:p w14:paraId="44EA72BD">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2025-2027年</w:t>
      </w: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龙浦高速、武邵高速、邵光高速（含相应路段养护站）消防设施维护修缮养护工程。</w:t>
      </w:r>
    </w:p>
    <w:p w14:paraId="331F39CC">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2025-2027年</w:t>
      </w:r>
      <w:r>
        <w:rPr>
          <w:rFonts w:hint="eastAsia" w:ascii="仿宋_GB2312" w:hAnsi="仿宋_GB2312" w:eastAsia="仿宋_GB2312" w:cs="仿宋_GB2312"/>
          <w:bCs/>
          <w:color w:val="000000" w:themeColor="text1"/>
          <w:sz w:val="32"/>
          <w:szCs w:val="32"/>
          <w14:textFill>
            <w14:solidFill>
              <w14:schemeClr w14:val="tx1"/>
            </w14:solidFill>
          </w14:textFill>
        </w:rPr>
        <w:t>延顺高速、顺邵高速、</w:t>
      </w:r>
      <w:r>
        <w:rPr>
          <w:rFonts w:hint="eastAsia" w:ascii="仿宋_GB2312" w:hAnsi="仿宋_GB2312" w:eastAsia="仿宋_GB2312" w:cs="仿宋_GB2312"/>
          <w:bCs/>
          <w:color w:val="000000" w:themeColor="text1"/>
          <w:spacing w:val="0"/>
          <w:sz w:val="32"/>
          <w:szCs w:val="32"/>
          <w14:textFill>
            <w14:solidFill>
              <w14:schemeClr w14:val="tx1"/>
            </w14:solidFill>
          </w14:textFill>
        </w:rPr>
        <w:t>南平联络线高速</w:t>
      </w:r>
      <w:r>
        <w:rPr>
          <w:rFonts w:hint="eastAsia" w:ascii="仿宋_GB2312" w:hAnsi="仿宋_GB2312" w:eastAsia="仿宋_GB2312" w:cs="仿宋_GB2312"/>
          <w:bCs/>
          <w:color w:val="000000" w:themeColor="text1"/>
          <w:sz w:val="32"/>
          <w:szCs w:val="32"/>
          <w14:textFill>
            <w14:solidFill>
              <w14:schemeClr w14:val="tx1"/>
            </w14:solidFill>
          </w14:textFill>
        </w:rPr>
        <w:t>（含相应路段养护站）消防设施维护修缮养护工程。</w:t>
      </w:r>
    </w:p>
    <w:p w14:paraId="6E7D3AF0">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14:paraId="0AEFB631">
      <w:pPr>
        <w:numPr>
          <w:ilvl w:val="255"/>
          <w:numId w:val="0"/>
        </w:numPr>
        <w:spacing w:line="580" w:lineRule="exact"/>
        <w:ind w:firstLine="0" w:firstLineChars="0"/>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1</w:t>
      </w:r>
      <w:r>
        <w:rPr>
          <w:rFonts w:hint="eastAsia" w:ascii="仿宋_GB2312" w:hAnsi="仿宋_GB2312" w:eastAsia="仿宋_GB2312" w:cs="仿宋_GB2312"/>
          <w:b w:val="0"/>
          <w:color w:val="000000" w:themeColor="text1"/>
          <w:sz w:val="32"/>
          <w:szCs w:val="32"/>
          <w14:textFill>
            <w14:solidFill>
              <w14:schemeClr w14:val="tx1"/>
            </w14:solidFill>
          </w14:textFill>
        </w:rPr>
        <w:t>）消防给水系统的</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日常检查</w:t>
      </w:r>
      <w:r>
        <w:rPr>
          <w:rFonts w:hint="eastAsia" w:ascii="仿宋_GB2312" w:hAnsi="仿宋_GB2312" w:eastAsia="仿宋_GB2312" w:cs="仿宋_GB2312"/>
          <w:b w:val="0"/>
          <w:color w:val="000000" w:themeColor="text1"/>
          <w:sz w:val="32"/>
          <w:szCs w:val="32"/>
          <w14:textFill>
            <w14:solidFill>
              <w14:schemeClr w14:val="tx1"/>
            </w14:solidFill>
          </w14:textFill>
        </w:rPr>
        <w:t>维护和修缮</w:t>
      </w:r>
    </w:p>
    <w:p w14:paraId="63AD0DCC">
      <w:pPr>
        <w:numPr>
          <w:ilvl w:val="255"/>
          <w:numId w:val="0"/>
        </w:numPr>
        <w:spacing w:line="580" w:lineRule="exact"/>
        <w:ind w:firstLine="0" w:firstLineChars="0"/>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2</w:t>
      </w:r>
      <w:r>
        <w:rPr>
          <w:rFonts w:hint="eastAsia" w:ascii="仿宋_GB2312" w:hAnsi="仿宋_GB2312" w:eastAsia="仿宋_GB2312" w:cs="仿宋_GB2312"/>
          <w:b w:val="0"/>
          <w:color w:val="000000" w:themeColor="text1"/>
          <w:sz w:val="32"/>
          <w:szCs w:val="32"/>
          <w14:textFill>
            <w14:solidFill>
              <w14:schemeClr w14:val="tx1"/>
            </w14:solidFill>
          </w14:textFill>
        </w:rPr>
        <w:t>）、应急疏散通道横洞卷帘门的</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日常检查</w:t>
      </w:r>
      <w:r>
        <w:rPr>
          <w:rFonts w:hint="eastAsia" w:ascii="仿宋_GB2312" w:hAnsi="仿宋_GB2312" w:eastAsia="仿宋_GB2312" w:cs="仿宋_GB2312"/>
          <w:b w:val="0"/>
          <w:color w:val="000000" w:themeColor="text1"/>
          <w:sz w:val="32"/>
          <w:szCs w:val="32"/>
          <w14:textFill>
            <w14:solidFill>
              <w14:schemeClr w14:val="tx1"/>
            </w14:solidFill>
          </w14:textFill>
        </w:rPr>
        <w:t>维护</w:t>
      </w:r>
    </w:p>
    <w:p w14:paraId="3EB42887">
      <w:pPr>
        <w:numPr>
          <w:ilvl w:val="255"/>
          <w:numId w:val="0"/>
        </w:numPr>
        <w:spacing w:line="58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3</w:t>
      </w:r>
      <w:r>
        <w:rPr>
          <w:rFonts w:hint="eastAsia" w:ascii="仿宋_GB2312" w:hAnsi="仿宋_GB2312" w:eastAsia="仿宋_GB2312" w:cs="仿宋_GB2312"/>
          <w:b w:val="0"/>
          <w:color w:val="000000" w:themeColor="text1"/>
          <w:sz w:val="32"/>
          <w:szCs w:val="32"/>
          <w14:textFill>
            <w14:solidFill>
              <w14:schemeClr w14:val="tx1"/>
            </w14:solidFill>
          </w14:textFill>
        </w:rPr>
        <w:t>）、消火栓及灭火器材的</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日常检查</w:t>
      </w:r>
      <w:r>
        <w:rPr>
          <w:rFonts w:hint="eastAsia" w:ascii="仿宋_GB2312" w:hAnsi="仿宋_GB2312" w:eastAsia="仿宋_GB2312" w:cs="仿宋_GB2312"/>
          <w:b w:val="0"/>
          <w:color w:val="000000" w:themeColor="text1"/>
          <w:sz w:val="32"/>
          <w:szCs w:val="32"/>
          <w14:textFill>
            <w14:solidFill>
              <w14:schemeClr w14:val="tx1"/>
            </w14:solidFill>
          </w14:textFill>
        </w:rPr>
        <w:t>维护</w:t>
      </w:r>
    </w:p>
    <w:p w14:paraId="2F2361EB">
      <w:pPr>
        <w:numPr>
          <w:ilvl w:val="255"/>
          <w:numId w:val="0"/>
        </w:numPr>
        <w:spacing w:line="58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4</w:t>
      </w:r>
      <w:r>
        <w:rPr>
          <w:rFonts w:hint="eastAsia" w:ascii="仿宋_GB2312" w:hAnsi="仿宋_GB2312" w:eastAsia="仿宋_GB2312" w:cs="仿宋_GB2312"/>
          <w:b w:val="0"/>
          <w:color w:val="000000" w:themeColor="text1"/>
          <w:sz w:val="32"/>
          <w:szCs w:val="32"/>
          <w14:textFill>
            <w14:solidFill>
              <w14:schemeClr w14:val="tx1"/>
            </w14:solidFill>
          </w14:textFill>
        </w:rPr>
        <w:t>）、消防泵房、水池系统的</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日常检查</w:t>
      </w:r>
      <w:r>
        <w:rPr>
          <w:rFonts w:hint="eastAsia" w:ascii="仿宋_GB2312" w:hAnsi="仿宋_GB2312" w:eastAsia="仿宋_GB2312" w:cs="仿宋_GB2312"/>
          <w:b w:val="0"/>
          <w:color w:val="000000" w:themeColor="text1"/>
          <w:sz w:val="32"/>
          <w:szCs w:val="32"/>
          <w14:textFill>
            <w14:solidFill>
              <w14:schemeClr w14:val="tx1"/>
            </w14:solidFill>
          </w14:textFill>
        </w:rPr>
        <w:t>维护和修缮</w:t>
      </w:r>
    </w:p>
    <w:p w14:paraId="135296D0">
      <w:pPr>
        <w:numPr>
          <w:ilvl w:val="255"/>
          <w:numId w:val="0"/>
        </w:numPr>
        <w:spacing w:line="580" w:lineRule="exact"/>
        <w:ind w:firstLine="0" w:firstLineChars="0"/>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5</w:t>
      </w:r>
      <w:r>
        <w:rPr>
          <w:rFonts w:hint="eastAsia" w:ascii="仿宋_GB2312" w:hAnsi="仿宋_GB2312" w:eastAsia="仿宋_GB2312" w:cs="仿宋_GB2312"/>
          <w:b w:val="0"/>
          <w:color w:val="000000" w:themeColor="text1"/>
          <w:sz w:val="32"/>
          <w:szCs w:val="32"/>
          <w14:textFill>
            <w14:solidFill>
              <w14:schemeClr w14:val="tx1"/>
            </w14:solidFill>
          </w14:textFill>
        </w:rPr>
        <w:t>）、定期对高位水池和深水井的检修道进行劈草，每年不少于两次。</w:t>
      </w:r>
    </w:p>
    <w:p w14:paraId="10DD7D31">
      <w:pPr>
        <w:numPr>
          <w:ilvl w:val="255"/>
          <w:numId w:val="0"/>
        </w:numPr>
        <w:spacing w:line="580" w:lineRule="exact"/>
        <w:ind w:firstLine="0" w:firstLineChars="0"/>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w:t>
      </w:r>
      <w:r>
        <w:rPr>
          <w:rFonts w:ascii="仿宋_GB2312" w:hAnsi="仿宋_GB2312" w:eastAsia="仿宋_GB2312" w:cs="仿宋_GB2312"/>
          <w:b w:val="0"/>
          <w:color w:val="000000" w:themeColor="text1"/>
          <w:sz w:val="32"/>
          <w:szCs w:val="32"/>
          <w14:textFill>
            <w14:solidFill>
              <w14:schemeClr w14:val="tx1"/>
            </w14:solidFill>
          </w14:textFill>
        </w:rPr>
        <w:t>6</w:t>
      </w:r>
      <w:r>
        <w:rPr>
          <w:rFonts w:hint="eastAsia" w:ascii="仿宋_GB2312" w:hAnsi="仿宋_GB2312" w:eastAsia="仿宋_GB2312" w:cs="仿宋_GB2312"/>
          <w:b w:val="0"/>
          <w:color w:val="000000" w:themeColor="text1"/>
          <w:sz w:val="32"/>
          <w:szCs w:val="32"/>
          <w14:textFill>
            <w14:solidFill>
              <w14:schemeClr w14:val="tx1"/>
            </w14:solidFill>
          </w14:textFill>
        </w:rPr>
        <w:t>）、防灾消防管理系统的建立和完善。</w:t>
      </w:r>
    </w:p>
    <w:p w14:paraId="52ADC824">
      <w:pPr>
        <w:spacing w:line="580" w:lineRule="exact"/>
        <w:ind w:firstLine="320" w:firstLineChars="1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14:paraId="38559B2A">
      <w:pPr>
        <w:spacing w:line="580" w:lineRule="exact"/>
        <w:ind w:firstLine="640" w:firstLineChars="200"/>
        <w:rPr>
          <w:rFonts w:ascii="仿宋"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龙浦高速、武邵高速、延顺高速、邵光高速、顺邵高速、南平联络线高速。</w:t>
      </w:r>
    </w:p>
    <w:p w14:paraId="53DEC876">
      <w:pPr>
        <w:spacing w:line="580" w:lineRule="exact"/>
        <w:ind w:firstLine="320" w:firstLineChars="100"/>
        <w:rPr>
          <w:rFonts w:hint="eastAsia" w:ascii="仿宋" w:hAnsi="仿宋" w:eastAsia="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w:t>
      </w:r>
      <w:r>
        <w:rPr>
          <w:rFonts w:hint="eastAsia" w:ascii="楷体_GB2312" w:hAnsi="楷体_GB2312" w:eastAsia="楷体_GB2312" w:cs="楷体_GB2312"/>
          <w:color w:val="000000" w:themeColor="text1"/>
          <w:sz w:val="32"/>
          <w:szCs w:val="32"/>
          <w:lang w:eastAsia="zh-CN"/>
          <w14:textFill>
            <w14:solidFill>
              <w14:schemeClr w14:val="tx1"/>
            </w14:solidFill>
          </w14:textFill>
        </w:rPr>
        <w:t>项目规模</w:t>
      </w:r>
    </w:p>
    <w:p w14:paraId="24929B31">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2025-2027年</w:t>
      </w:r>
      <w:r>
        <w:rPr>
          <w:rFonts w:hint="eastAsia" w:ascii="仿宋_GB2312" w:hAnsi="仿宋_GB2312" w:eastAsia="仿宋_GB2312" w:cs="仿宋_GB2312"/>
          <w:bCs/>
          <w:color w:val="000000" w:themeColor="text1"/>
          <w:sz w:val="32"/>
          <w:szCs w:val="32"/>
          <w14:textFill>
            <w14:solidFill>
              <w14:schemeClr w14:val="tx1"/>
            </w14:solidFill>
          </w14:textFill>
        </w:rPr>
        <w:t>龙浦高速、武邵高速、邵光高速（含相应路段养护站）消防设施维护修缮养护工程</w:t>
      </w:r>
      <w:r>
        <w:rPr>
          <w:rFonts w:hint="eastAsia" w:ascii="仿宋_GB2312" w:hAnsi="仿宋" w:eastAsia="仿宋_GB2312"/>
          <w:sz w:val="32"/>
          <w:szCs w:val="32"/>
          <w:lang w:val="en-US" w:eastAsia="zh-CN"/>
        </w:rPr>
        <w:t>三年</w:t>
      </w:r>
      <w:r>
        <w:rPr>
          <w:rFonts w:hint="eastAsia" w:ascii="仿宋_GB2312" w:hAnsi="仿宋" w:eastAsia="仿宋_GB2312"/>
          <w:sz w:val="32"/>
          <w:szCs w:val="32"/>
          <w:lang w:eastAsia="zh-CN"/>
        </w:rPr>
        <w:t>合</w:t>
      </w:r>
      <w:r>
        <w:rPr>
          <w:rFonts w:hint="eastAsia" w:ascii="仿宋_GB2312" w:hAnsi="仿宋" w:eastAsia="仿宋_GB2312"/>
          <w:sz w:val="32"/>
          <w:szCs w:val="32"/>
        </w:rPr>
        <w:t>计</w:t>
      </w:r>
      <w:r>
        <w:rPr>
          <w:rFonts w:hint="eastAsia" w:ascii="仿宋_GB2312" w:hAnsi="仿宋" w:eastAsia="仿宋_GB2312"/>
          <w:sz w:val="32"/>
          <w:szCs w:val="32"/>
          <w:u w:val="single"/>
          <w:lang w:val="en-US" w:eastAsia="zh-CN"/>
        </w:rPr>
        <w:t>970197</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合同一年一签</w:t>
      </w:r>
      <w:r>
        <w:rPr>
          <w:rFonts w:hint="eastAsia" w:ascii="仿宋_GB2312" w:hAnsi="仿宋" w:eastAsia="仿宋_GB2312"/>
          <w:sz w:val="32"/>
          <w:szCs w:val="32"/>
          <w:lang w:eastAsia="zh-CN"/>
        </w:rPr>
        <w:t>）</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488F7967">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2025-2027年</w:t>
      </w:r>
      <w:r>
        <w:rPr>
          <w:rFonts w:hint="eastAsia" w:ascii="仿宋_GB2312" w:hAnsi="仿宋_GB2312" w:eastAsia="仿宋_GB2312" w:cs="仿宋_GB2312"/>
          <w:bCs/>
          <w:color w:val="000000" w:themeColor="text1"/>
          <w:sz w:val="32"/>
          <w:szCs w:val="32"/>
          <w14:textFill>
            <w14:solidFill>
              <w14:schemeClr w14:val="tx1"/>
            </w14:solidFill>
          </w14:textFill>
        </w:rPr>
        <w:t>延顺高速、顺邵高速、</w:t>
      </w:r>
      <w:r>
        <w:rPr>
          <w:rFonts w:hint="eastAsia" w:ascii="仿宋_GB2312" w:hAnsi="仿宋_GB2312" w:eastAsia="仿宋_GB2312" w:cs="仿宋_GB2312"/>
          <w:bCs/>
          <w:color w:val="000000" w:themeColor="text1"/>
          <w:spacing w:val="0"/>
          <w:sz w:val="32"/>
          <w:szCs w:val="32"/>
          <w14:textFill>
            <w14:solidFill>
              <w14:schemeClr w14:val="tx1"/>
            </w14:solidFill>
          </w14:textFill>
        </w:rPr>
        <w:t>南平联络线高速</w:t>
      </w:r>
      <w:r>
        <w:rPr>
          <w:rFonts w:hint="eastAsia" w:ascii="仿宋_GB2312" w:hAnsi="仿宋_GB2312" w:eastAsia="仿宋_GB2312" w:cs="仿宋_GB2312"/>
          <w:bCs/>
          <w:color w:val="000000" w:themeColor="text1"/>
          <w:sz w:val="32"/>
          <w:szCs w:val="32"/>
          <w14:textFill>
            <w14:solidFill>
              <w14:schemeClr w14:val="tx1"/>
            </w14:solidFill>
          </w14:textFill>
        </w:rPr>
        <w:t>（含相应路段养护站）消防设施维护修缮养护工程</w:t>
      </w:r>
      <w:r>
        <w:rPr>
          <w:rFonts w:hint="eastAsia" w:ascii="仿宋_GB2312" w:hAnsi="仿宋" w:eastAsia="仿宋_GB2312"/>
          <w:sz w:val="32"/>
          <w:szCs w:val="32"/>
          <w:lang w:val="en-US" w:eastAsia="zh-CN"/>
        </w:rPr>
        <w:t>三年</w:t>
      </w:r>
      <w:r>
        <w:rPr>
          <w:rFonts w:hint="eastAsia" w:ascii="仿宋_GB2312" w:hAnsi="仿宋" w:eastAsia="仿宋_GB2312"/>
          <w:sz w:val="32"/>
          <w:szCs w:val="32"/>
          <w:lang w:eastAsia="zh-CN"/>
        </w:rPr>
        <w:t>合</w:t>
      </w:r>
      <w:r>
        <w:rPr>
          <w:rFonts w:hint="eastAsia" w:ascii="仿宋_GB2312" w:hAnsi="仿宋" w:eastAsia="仿宋_GB2312"/>
          <w:sz w:val="32"/>
          <w:szCs w:val="32"/>
        </w:rPr>
        <w:t>计</w:t>
      </w:r>
      <w:r>
        <w:rPr>
          <w:rFonts w:hint="eastAsia" w:ascii="仿宋_GB2312" w:hAnsi="仿宋" w:eastAsia="仿宋_GB2312"/>
          <w:sz w:val="32"/>
          <w:szCs w:val="32"/>
          <w:u w:val="single"/>
          <w:lang w:val="en-US" w:eastAsia="zh-CN"/>
        </w:rPr>
        <w:t>694728</w:t>
      </w:r>
      <w:r>
        <w:rPr>
          <w:rFonts w:hint="eastAsia" w:ascii="仿宋_GB2312" w:hAnsi="仿宋" w:eastAsia="仿宋_GB2312"/>
          <w:sz w:val="32"/>
          <w:szCs w:val="32"/>
        </w:rPr>
        <w:t>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合同一年一签</w:t>
      </w:r>
      <w:r>
        <w:rPr>
          <w:rFonts w:hint="eastAsia" w:ascii="仿宋_GB2312" w:hAnsi="仿宋" w:eastAsia="仿宋_GB2312"/>
          <w:sz w:val="32"/>
          <w:szCs w:val="32"/>
          <w:lang w:eastAsia="zh-CN"/>
        </w:rPr>
        <w:t>）</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2CD861A0">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14:paraId="79E96ED4">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集团有限公司养护类班组库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消防设施类班组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并具备消防设施工程专业承包二级或以上资质</w:t>
      </w:r>
      <w:r>
        <w:rPr>
          <w:rFonts w:hint="eastAsia" w:ascii="仿宋_GB2312" w:hAnsi="仿宋_GB2312" w:eastAsia="仿宋_GB2312" w:cs="仿宋_GB2312"/>
          <w:color w:val="000000" w:themeColor="text1"/>
          <w:sz w:val="32"/>
          <w:szCs w:val="32"/>
          <w14:textFill>
            <w14:solidFill>
              <w14:schemeClr w14:val="tx1"/>
            </w14:solidFill>
          </w14:textFill>
        </w:rPr>
        <w:t>；</w:t>
      </w:r>
    </w:p>
    <w:p w14:paraId="3950C3C3">
      <w:pPr>
        <w:spacing w:beforeLines="-2147483648" w:afterLines="-2147483648" w:line="580" w:lineRule="exact"/>
        <w:ind w:firstLine="640" w:firstLineChars="200"/>
        <w:jc w:val="left"/>
        <w:rPr>
          <w:rFonts w:eastAsia="黑体"/>
          <w:kern w:val="0"/>
          <w:sz w:val="32"/>
          <w:szCs w:val="20"/>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个月的社保证明。(近6个月指202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年6月至今)</w:t>
      </w:r>
    </w:p>
    <w:p w14:paraId="36D00CB4">
      <w:pPr>
        <w:pStyle w:val="3"/>
        <w:numPr>
          <w:ilvl w:val="255"/>
          <w:numId w:val="0"/>
        </w:numPr>
        <w:spacing w:beforeLines="100" w:afterLines="100" w:line="520" w:lineRule="exact"/>
        <w:ind w:firstLine="643" w:firstLineChars="0"/>
        <w:jc w:val="center"/>
        <w:rPr>
          <w:rFonts w:eastAsia="黑体"/>
          <w:bCs w:val="0"/>
          <w:kern w:val="0"/>
          <w:sz w:val="32"/>
          <w:szCs w:val="20"/>
        </w:rPr>
      </w:pPr>
      <w:r>
        <w:rPr>
          <w:rFonts w:hint="eastAsia" w:eastAsia="黑体"/>
          <w:kern w:val="0"/>
          <w:sz w:val="32"/>
          <w:szCs w:val="20"/>
        </w:rPr>
        <w:t>消防设施各标段施工人员机械</w:t>
      </w:r>
      <w:r>
        <w:rPr>
          <w:rFonts w:hint="eastAsia" w:eastAsia="黑体"/>
          <w:bCs w:val="0"/>
          <w:kern w:val="0"/>
          <w:sz w:val="32"/>
          <w:szCs w:val="20"/>
        </w:rPr>
        <w:t>设备最低要求</w:t>
      </w:r>
    </w:p>
    <w:tbl>
      <w:tblPr>
        <w:tblStyle w:val="4"/>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14:paraId="0F6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14:paraId="6BE63D36">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14:paraId="22AE1D64">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14:paraId="0B078832">
            <w:pPr>
              <w:jc w:val="center"/>
              <w:rPr>
                <w:rFonts w:ascii="宋体" w:hAnsi="宋体"/>
                <w:bCs/>
                <w:color w:val="000000"/>
                <w:sz w:val="24"/>
              </w:rPr>
            </w:pPr>
            <w:r>
              <w:rPr>
                <w:rFonts w:hint="eastAsia" w:ascii="宋体" w:hAnsi="宋体" w:cs="宋体"/>
                <w:color w:val="000000"/>
                <w:sz w:val="24"/>
              </w:rPr>
              <w:t>资 格 要 求</w:t>
            </w:r>
          </w:p>
        </w:tc>
      </w:tr>
      <w:tr w14:paraId="10D9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tcPr>
          <w:p w14:paraId="5C326A70">
            <w:pPr>
              <w:jc w:val="center"/>
              <w:rPr>
                <w:rFonts w:ascii="宋体" w:hAnsi="宋体"/>
                <w:bCs/>
                <w:color w:val="000000"/>
                <w:sz w:val="24"/>
              </w:rPr>
            </w:pPr>
            <w:r>
              <w:rPr>
                <w:rFonts w:hint="eastAsia" w:ascii="宋体" w:hAnsi="宋体"/>
                <w:bCs/>
                <w:color w:val="000000"/>
                <w:sz w:val="24"/>
              </w:rPr>
              <w:t>项目经理</w:t>
            </w:r>
          </w:p>
        </w:tc>
        <w:tc>
          <w:tcPr>
            <w:tcW w:w="1050" w:type="dxa"/>
            <w:noWrap/>
          </w:tcPr>
          <w:p w14:paraId="66E65769">
            <w:pPr>
              <w:jc w:val="center"/>
              <w:rPr>
                <w:rFonts w:ascii="宋体" w:hAnsi="宋体"/>
                <w:bCs/>
                <w:color w:val="000000"/>
                <w:sz w:val="24"/>
              </w:rPr>
            </w:pPr>
            <w:r>
              <w:rPr>
                <w:rFonts w:hint="eastAsia" w:ascii="宋体" w:hAnsi="宋体"/>
                <w:bCs/>
                <w:color w:val="000000"/>
                <w:sz w:val="24"/>
              </w:rPr>
              <w:t>1人</w:t>
            </w:r>
          </w:p>
        </w:tc>
        <w:tc>
          <w:tcPr>
            <w:tcW w:w="4845" w:type="dxa"/>
            <w:noWrap/>
          </w:tcPr>
          <w:p w14:paraId="21FBD8FA">
            <w:pPr>
              <w:rPr>
                <w:rFonts w:ascii="宋体" w:hAnsi="宋体"/>
                <w:bCs/>
                <w:color w:val="000000"/>
                <w:sz w:val="24"/>
              </w:rPr>
            </w:pPr>
            <w:r>
              <w:rPr>
                <w:rFonts w:hint="eastAsia" w:ascii="宋体" w:hAnsi="宋体" w:cs="宋体"/>
                <w:sz w:val="24"/>
              </w:rPr>
              <w:t>应具备有效的二级及以上建造师注册证书，持有行政主管部门核发的有效安全生产考核合格证书B证</w:t>
            </w:r>
          </w:p>
        </w:tc>
      </w:tr>
      <w:tr w14:paraId="0C34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tcPr>
          <w:p w14:paraId="4A5C3E3F">
            <w:pPr>
              <w:jc w:val="center"/>
              <w:rPr>
                <w:rFonts w:ascii="宋体" w:hAnsi="宋体"/>
                <w:bCs/>
                <w:color w:val="000000"/>
                <w:sz w:val="24"/>
              </w:rPr>
            </w:pPr>
            <w:r>
              <w:rPr>
                <w:rFonts w:hint="eastAsia" w:ascii="宋体" w:hAnsi="宋体"/>
                <w:bCs/>
                <w:color w:val="000000"/>
                <w:sz w:val="24"/>
              </w:rPr>
              <w:t>技术负责人</w:t>
            </w:r>
          </w:p>
        </w:tc>
        <w:tc>
          <w:tcPr>
            <w:tcW w:w="1050" w:type="dxa"/>
            <w:noWrap/>
          </w:tcPr>
          <w:p w14:paraId="22FA1C15">
            <w:pPr>
              <w:jc w:val="center"/>
              <w:rPr>
                <w:rFonts w:ascii="宋体" w:hAnsi="宋体"/>
                <w:bCs/>
                <w:color w:val="000000"/>
                <w:sz w:val="24"/>
              </w:rPr>
            </w:pPr>
            <w:r>
              <w:rPr>
                <w:rFonts w:hint="eastAsia" w:ascii="宋体" w:hAnsi="宋体"/>
                <w:bCs/>
                <w:color w:val="000000"/>
                <w:sz w:val="24"/>
              </w:rPr>
              <w:t>1人</w:t>
            </w:r>
          </w:p>
        </w:tc>
        <w:tc>
          <w:tcPr>
            <w:tcW w:w="4845" w:type="dxa"/>
            <w:noWrap/>
          </w:tcPr>
          <w:p w14:paraId="5FD32CA5">
            <w:pPr>
              <w:rPr>
                <w:rFonts w:ascii="宋体" w:hAnsi="宋体"/>
                <w:bCs/>
                <w:color w:val="000000"/>
                <w:sz w:val="24"/>
              </w:rPr>
            </w:pPr>
            <w:r>
              <w:rPr>
                <w:rFonts w:hint="eastAsia" w:ascii="宋体" w:hAnsi="宋体" w:cs="宋体"/>
                <w:sz w:val="24"/>
              </w:rPr>
              <w:t>应具有中级工程师或以上职称</w:t>
            </w:r>
          </w:p>
        </w:tc>
      </w:tr>
      <w:tr w14:paraId="6368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tcPr>
          <w:p w14:paraId="21ECC852">
            <w:pPr>
              <w:jc w:val="center"/>
              <w:rPr>
                <w:rFonts w:ascii="宋体" w:hAnsi="宋体"/>
                <w:bCs/>
                <w:color w:val="000000"/>
                <w:sz w:val="24"/>
              </w:rPr>
            </w:pPr>
            <w:r>
              <w:rPr>
                <w:rFonts w:hint="eastAsia" w:ascii="宋体" w:hAnsi="宋体"/>
                <w:bCs/>
                <w:color w:val="000000"/>
                <w:sz w:val="24"/>
              </w:rPr>
              <w:t>安全员</w:t>
            </w:r>
          </w:p>
        </w:tc>
        <w:tc>
          <w:tcPr>
            <w:tcW w:w="1050" w:type="dxa"/>
            <w:noWrap/>
          </w:tcPr>
          <w:p w14:paraId="4C689320">
            <w:pPr>
              <w:jc w:val="center"/>
              <w:rPr>
                <w:rFonts w:ascii="宋体" w:hAnsi="宋体"/>
                <w:bCs/>
                <w:color w:val="000000"/>
                <w:sz w:val="24"/>
              </w:rPr>
            </w:pPr>
            <w:r>
              <w:rPr>
                <w:rFonts w:hint="eastAsia" w:ascii="宋体" w:hAnsi="宋体"/>
                <w:bCs/>
                <w:color w:val="000000"/>
                <w:sz w:val="24"/>
              </w:rPr>
              <w:t>1人</w:t>
            </w:r>
          </w:p>
        </w:tc>
        <w:tc>
          <w:tcPr>
            <w:tcW w:w="4845" w:type="dxa"/>
            <w:noWrap/>
          </w:tcPr>
          <w:p w14:paraId="049C49BA">
            <w:pPr>
              <w:rPr>
                <w:rFonts w:ascii="宋体" w:hAnsi="宋体"/>
                <w:bCs/>
                <w:color w:val="000000"/>
                <w:sz w:val="24"/>
              </w:rPr>
            </w:pPr>
            <w:r>
              <w:rPr>
                <w:rFonts w:hint="eastAsia" w:ascii="宋体" w:hAnsi="宋体" w:cs="宋体"/>
                <w:sz w:val="24"/>
              </w:rPr>
              <w:t>持有交通或建设主管部门颁发的有效的公路工程安全生产考核合格证C类</w:t>
            </w:r>
          </w:p>
        </w:tc>
      </w:tr>
    </w:tbl>
    <w:p w14:paraId="30CC2FC6">
      <w:pPr>
        <w:spacing w:line="360" w:lineRule="auto"/>
        <w:rPr>
          <w:b/>
          <w:bCs/>
        </w:rPr>
      </w:pPr>
      <w:r>
        <w:rPr>
          <w:rFonts w:hint="eastAsia" w:ascii="宋体" w:hAnsi="宋体" w:cs="宋体"/>
          <w:b/>
          <w:bCs/>
          <w:sz w:val="24"/>
        </w:rPr>
        <w:t>注：投标人应根据工程实际</w:t>
      </w:r>
      <w:r>
        <w:rPr>
          <w:rFonts w:ascii="宋体" w:hAnsi="宋体" w:cs="宋体"/>
          <w:b/>
          <w:bCs/>
          <w:sz w:val="24"/>
        </w:rPr>
        <w:t>,在本表中列明具体的数量及规格要求，本表不作为资格审查条件，投标人无需提供上述</w:t>
      </w:r>
      <w:r>
        <w:rPr>
          <w:rFonts w:hint="eastAsia" w:ascii="宋体" w:hAnsi="宋体" w:cs="宋体"/>
          <w:b/>
          <w:bCs/>
          <w:sz w:val="24"/>
        </w:rPr>
        <w:t>人员详细清单，也无需在投标文件中提交本表格；但投标人必须承诺中标后应按本表最低要求的数量和规格投入人员。</w:t>
      </w:r>
    </w:p>
    <w:p w14:paraId="113975BC">
      <w:pPr>
        <w:numPr>
          <w:ilvl w:val="0"/>
          <w:numId w:val="1"/>
        </w:numPr>
        <w:spacing w:line="580"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val="en-US" w:eastAsia="zh-CN"/>
          <w14:textFill>
            <w14:solidFill>
              <w14:schemeClr w14:val="tx1"/>
            </w14:solidFill>
          </w14:textFill>
        </w:rPr>
        <w:t>等概率</w:t>
      </w:r>
      <w:r>
        <w:rPr>
          <w:rFonts w:hint="eastAsia" w:ascii="黑体" w:hAnsi="黑体" w:eastAsia="黑体" w:cs="黑体"/>
          <w:color w:val="000000" w:themeColor="text1"/>
          <w:sz w:val="32"/>
          <w:szCs w:val="32"/>
          <w14:textFill>
            <w14:solidFill>
              <w14:schemeClr w14:val="tx1"/>
            </w14:solidFill>
          </w14:textFill>
        </w:rPr>
        <w:t>摇球法</w:t>
      </w:r>
    </w:p>
    <w:p w14:paraId="48E193B4">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14:paraId="6EBC5EE3">
      <w:pPr>
        <w:spacing w:line="360" w:lineRule="auto"/>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凡有意参加选择者，请</w:t>
      </w:r>
      <w:r>
        <w:rPr>
          <w:rFonts w:hint="eastAsia" w:ascii="仿宋_GB2312" w:hAnsi="仿宋_GB2312" w:eastAsia="仿宋_GB2312" w:cs="仿宋_GB2312"/>
          <w:color w:val="000000" w:themeColor="text1"/>
          <w:sz w:val="32"/>
          <w:szCs w:val="32"/>
          <w:highlight w:val="none"/>
          <w14:textFill>
            <w14:solidFill>
              <w14:schemeClr w14:val="tx1"/>
            </w14:solidFill>
          </w14:textFill>
        </w:rPr>
        <w:t>于</w:t>
      </w:r>
      <w:r>
        <w:rPr>
          <w:rFonts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日至12</w:t>
      </w:r>
      <w:r>
        <w:rPr>
          <w:rFonts w:ascii="仿宋_GB2312" w:hAnsi="仿宋_GB2312" w:eastAsia="仿宋_GB2312" w:cs="仿宋_GB2312"/>
          <w:color w:val="000000" w:themeColor="text1"/>
          <w:sz w:val="32"/>
          <w:szCs w:val="32"/>
          <w:highlight w:val="none"/>
          <w14:textFill>
            <w14:solidFill>
              <w14:schemeClr w14:val="tx1"/>
            </w14:solidFill>
          </w14:textFill>
        </w:rPr>
        <w:t xml:space="preserve"> 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ascii="仿宋_GB2312" w:hAnsi="仿宋_GB2312" w:eastAsia="仿宋_GB2312" w:cs="仿宋_GB2312"/>
          <w:color w:val="000000" w:themeColor="text1"/>
          <w:sz w:val="32"/>
          <w:szCs w:val="32"/>
          <w:highlight w:val="none"/>
          <w14:textFill>
            <w14:solidFill>
              <w14:schemeClr w14:val="tx1"/>
            </w14:solidFill>
          </w14:textFill>
        </w:rPr>
        <w:t>8:00-11:30,1</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ascii="仿宋_GB2312" w:hAnsi="仿宋_GB2312" w:eastAsia="仿宋_GB2312" w:cs="仿宋_GB2312"/>
          <w:color w:val="000000" w:themeColor="text1"/>
          <w:sz w:val="32"/>
          <w:szCs w:val="32"/>
          <w:highlight w:val="none"/>
          <w14:textFill>
            <w14:solidFill>
              <w14:schemeClr w14:val="tx1"/>
            </w14:solidFill>
          </w14:textFill>
        </w:rPr>
        <w:t>0-17:</w:t>
      </w:r>
      <w:r>
        <w:rPr>
          <w:rFonts w:hint="eastAsia" w:ascii="仿宋_GB2312" w:hAnsi="仿宋_GB2312" w:eastAsia="仿宋_GB2312" w:cs="仿宋_GB2312"/>
          <w:color w:val="000000" w:themeColor="text1"/>
          <w:sz w:val="32"/>
          <w:szCs w:val="32"/>
          <w:highlight w:val="none"/>
          <w14:textFill>
            <w14:solidFill>
              <w14:schemeClr w14:val="tx1"/>
            </w14:solidFill>
          </w14:textFill>
        </w:rPr>
        <w:t>0</w:t>
      </w:r>
      <w:r>
        <w:rPr>
          <w:rFonts w:ascii="仿宋_GB2312" w:hAnsi="仿宋_GB2312" w:eastAsia="仿宋_GB2312" w:cs="仿宋_GB2312"/>
          <w:color w:val="000000" w:themeColor="text1"/>
          <w:sz w:val="32"/>
          <w:szCs w:val="32"/>
          <w:highlight w:val="none"/>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发送邮箱号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及银行转账凭证（要开票的附开票信息）至1047715898@qq.com.</w:t>
      </w:r>
      <w:r>
        <w:rPr>
          <w:rFonts w:hint="eastAsia" w:ascii="仿宋_GB2312" w:hAnsi="仿宋_GB2312" w:eastAsia="仿宋_GB2312" w:cs="仿宋_GB2312"/>
          <w:color w:val="000000" w:themeColor="text1"/>
          <w:sz w:val="32"/>
          <w:szCs w:val="32"/>
          <w:highlight w:val="none"/>
          <w14:textFill>
            <w14:solidFill>
              <w14:schemeClr w14:val="tx1"/>
            </w14:solidFill>
          </w14:textFill>
        </w:rPr>
        <w:t>获取</w:t>
      </w:r>
      <w:r>
        <w:rPr>
          <w:rFonts w:ascii="仿宋_GB2312" w:hAnsi="仿宋_GB2312" w:eastAsia="仿宋_GB2312" w:cs="仿宋_GB2312"/>
          <w:color w:val="000000" w:themeColor="text1"/>
          <w:sz w:val="32"/>
          <w:szCs w:val="32"/>
          <w:highlight w:val="none"/>
          <w14:textFill>
            <w14:solidFill>
              <w14:schemeClr w14:val="tx1"/>
            </w14:solidFill>
          </w14:textFill>
        </w:rPr>
        <w:t>选择文件，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选择</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文件电子版售价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00元人民币，过期不售，售后不退。</w:t>
      </w:r>
    </w:p>
    <w:p w14:paraId="53592FD1">
      <w:pPr>
        <w:spacing w:line="4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购买标书银行帐户信息：</w:t>
      </w:r>
    </w:p>
    <w:p w14:paraId="1DA45BF3">
      <w:pPr>
        <w:spacing w:line="520" w:lineRule="exact"/>
        <w:ind w:left="1275" w:leftChars="607"/>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开户银行：</w:t>
      </w:r>
      <w:r>
        <w:rPr>
          <w:rFonts w:ascii="仿宋_GB2312" w:hAnsi="仿宋_GB2312" w:eastAsia="仿宋_GB2312" w:cs="仿宋_GB2312"/>
          <w:bCs/>
          <w:color w:val="000000" w:themeColor="text1"/>
          <w:sz w:val="32"/>
          <w:szCs w:val="32"/>
          <w:highlight w:val="none"/>
          <w14:textFill>
            <w14:solidFill>
              <w14:schemeClr w14:val="tx1"/>
            </w14:solidFill>
          </w14:textFill>
        </w:rPr>
        <w:t xml:space="preserve">   中国建设银行延平支行     </w:t>
      </w:r>
    </w:p>
    <w:p w14:paraId="1A317832">
      <w:pPr>
        <w:spacing w:line="520" w:lineRule="exact"/>
        <w:ind w:left="1275" w:leftChars="607"/>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开户名称：</w:t>
      </w:r>
      <w:r>
        <w:rPr>
          <w:rFonts w:ascii="仿宋_GB2312" w:hAnsi="仿宋_GB2312" w:eastAsia="仿宋_GB2312" w:cs="仿宋_GB2312"/>
          <w:bCs/>
          <w:color w:val="000000" w:themeColor="text1"/>
          <w:sz w:val="32"/>
          <w:szCs w:val="32"/>
          <w:highlight w:val="none"/>
          <w14:textFill>
            <w14:solidFill>
              <w14:schemeClr w14:val="tx1"/>
            </w14:solidFill>
          </w14:textFill>
        </w:rPr>
        <w:t xml:space="preserve">   南平市高建养护工程有限公司     </w:t>
      </w:r>
    </w:p>
    <w:p w14:paraId="11CB062E">
      <w:pPr>
        <w:spacing w:line="580" w:lineRule="exact"/>
        <w:ind w:firstLine="640" w:firstLineChars="200"/>
        <w:rPr>
          <w:rFonts w:hint="eastAsia" w:ascii="黑体" w:hAnsi="黑体" w:eastAsia="黑体" w:cs="黑体"/>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帐</w:t>
      </w:r>
      <w:r>
        <w:rPr>
          <w:rFonts w:ascii="仿宋_GB2312" w:hAnsi="仿宋_GB2312" w:eastAsia="仿宋_GB2312" w:cs="仿宋_GB2312"/>
          <w:bCs/>
          <w:color w:val="000000" w:themeColor="text1"/>
          <w:sz w:val="32"/>
          <w:szCs w:val="32"/>
          <w:highlight w:val="none"/>
          <w14:textFill>
            <w14:solidFill>
              <w14:schemeClr w14:val="tx1"/>
            </w14:solidFill>
          </w14:textFill>
        </w:rPr>
        <w:t xml:space="preserve">    号：   35001676107052507374   </w:t>
      </w:r>
    </w:p>
    <w:p w14:paraId="1A918674">
      <w:pPr>
        <w:tabs>
          <w:tab w:val="left" w:pos="1134"/>
        </w:tabs>
        <w:spacing w:line="520" w:lineRule="exact"/>
        <w:ind w:left="426"/>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用途：（请注明）“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2025-2027消防设施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标书费”，如因承诺人汇款凭证未注明项目名称造成选择人无法识别承诺保证金到账情况或识别错误的，其责任由承诺人自行承担。</w:t>
      </w:r>
    </w:p>
    <w:p w14:paraId="70ACD35A">
      <w:pPr>
        <w:spacing w:line="58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五、承诺文件的递交</w:t>
      </w:r>
    </w:p>
    <w:p w14:paraId="6F1F5E8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承诺文件递交的截止时间为</w:t>
      </w:r>
      <w:r>
        <w:rPr>
          <w:rFonts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年12月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highlight w:val="none"/>
          <w14:textFill>
            <w14:solidFill>
              <w14:schemeClr w14:val="tx1"/>
            </w14:solidFill>
          </w14:textFill>
        </w:rPr>
        <w:t>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0，承诺人应于</w:t>
      </w:r>
      <w:r>
        <w:rPr>
          <w:rFonts w:ascii="仿宋_GB2312" w:hAnsi="仿宋_GB2312" w:eastAsia="仿宋_GB2312" w:cs="仿宋_GB2312"/>
          <w:color w:val="000000" w:themeColor="text1"/>
          <w:sz w:val="32"/>
          <w:szCs w:val="32"/>
          <w14:textFill>
            <w14:solidFill>
              <w14:schemeClr w14:val="tx1"/>
            </w14:solidFill>
          </w14:textFill>
        </w:rPr>
        <w:t xml:space="preserve"> 20</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日截止时间前将承诺文件递交至武夷山市南平高速公路运营管理中心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栋（南平市高建养护工程有限公司二楼会议室）。逾期送达的或者未送达指定地点的承诺文件不予受理。</w:t>
      </w:r>
    </w:p>
    <w:p w14:paraId="1F88EE5C">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14:paraId="34A38BAC">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14:paraId="2BA303A2">
      <w:pPr>
        <w:spacing w:line="520" w:lineRule="exac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000000" w:themeColor="text1"/>
          <w:sz w:val="32"/>
          <w:szCs w:val="32"/>
          <w14:textFill>
            <w14:solidFill>
              <w14:schemeClr w14:val="tx1"/>
            </w14:solidFill>
          </w14:textFill>
        </w:rPr>
        <w:t>20</w:t>
      </w: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年12月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11</w:t>
      </w:r>
      <w:r>
        <w:rPr>
          <w:rFonts w:ascii="仿宋_GB2312" w:hAnsi="仿宋_GB2312" w:eastAsia="仿宋_GB2312" w:cs="仿宋_GB2312"/>
          <w:bCs/>
          <w:color w:val="000000" w:themeColor="text1"/>
          <w:sz w:val="32"/>
          <w:szCs w:val="32"/>
          <w14:textFill>
            <w14:solidFill>
              <w14:schemeClr w14:val="tx1"/>
            </w14:solidFill>
          </w14:textFill>
        </w:rPr>
        <w:t>日 17:00  时前从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承诺人基本帐户一次性汇达并解入选择人指定银行帐号（写明用途，以到账时间为准）</w:t>
      </w:r>
    </w:p>
    <w:p w14:paraId="5FF44B9B">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承诺保证金银行帐号：</w:t>
      </w:r>
    </w:p>
    <w:p w14:paraId="63DBCCB9">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14:paraId="245805F6">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14:paraId="6DD73D5E">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14:paraId="1B1568C2">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用途：（请注明）“高速消防设施承诺保证金”，如因承诺人汇款凭证未注明项目名称造成选择人无法识别承诺保证金到账情况或识别错误的，其责任由承诺人自行承担。</w:t>
      </w:r>
    </w:p>
    <w:p w14:paraId="029105C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14:paraId="330A2C79">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中选后承诺保证金转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14:paraId="2E909C6B">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ascii="仿宋_GB2312" w:hAnsi="仿宋_GB2312" w:eastAsia="仿宋_GB2312" w:cs="仿宋_GB2312"/>
          <w:color w:val="000000" w:themeColor="text1"/>
          <w:sz w:val="32"/>
          <w:szCs w:val="32"/>
          <w14:textFill>
            <w14:solidFill>
              <w14:schemeClr w14:val="tx1"/>
            </w14:solidFill>
          </w14:textFill>
        </w:rPr>
        <w:t>、中选</w:t>
      </w:r>
      <w:r>
        <w:rPr>
          <w:rFonts w:hint="eastAsia" w:ascii="仿宋_GB2312" w:hAnsi="仿宋_GB2312" w:eastAsia="仿宋_GB2312" w:cs="仿宋_GB2312"/>
          <w:bCs/>
          <w:color w:val="000000" w:themeColor="text1"/>
          <w:sz w:val="32"/>
          <w:szCs w:val="32"/>
          <w14:textFill>
            <w14:solidFill>
              <w14:schemeClr w14:val="tx1"/>
            </w14:solidFill>
          </w14:textFill>
        </w:rPr>
        <w:t>消防设施类维护修缮养护的协作班组与南平市高建养护工程有限公司签订消防设施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日常检查</w:t>
      </w:r>
      <w:r>
        <w:rPr>
          <w:rFonts w:hint="eastAsia" w:ascii="仿宋_GB2312" w:hAnsi="仿宋_GB2312" w:eastAsia="仿宋_GB2312" w:cs="仿宋_GB2312"/>
          <w:bCs/>
          <w:color w:val="000000" w:themeColor="text1"/>
          <w:sz w:val="32"/>
          <w:szCs w:val="32"/>
          <w14:textFill>
            <w14:solidFill>
              <w14:schemeClr w14:val="tx1"/>
            </w14:solidFill>
          </w14:textFill>
        </w:rPr>
        <w:t>维护修缮养护合同。</w:t>
      </w:r>
    </w:p>
    <w:p w14:paraId="181A0680">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3、消防设施</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承诺人必须同时参与2个标段的投标，但只能中选一个标段。</w:t>
      </w:r>
    </w:p>
    <w:p w14:paraId="4D662DFE">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14:textFill>
            <w14:solidFill>
              <w14:schemeClr w14:val="tx1"/>
            </w14:solidFill>
          </w14:textFill>
        </w:rPr>
        <w:t>连续两季度考核得分低于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14:paraId="49D18F06">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p w14:paraId="23C308EB">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14:paraId="60A1318D">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联系人：邓工</w:t>
      </w:r>
    </w:p>
    <w:p w14:paraId="04263981">
      <w:pPr>
        <w:spacing w:line="580" w:lineRule="exact"/>
        <w:ind w:firstLine="624"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pacing w:val="-4"/>
          <w:sz w:val="32"/>
          <w:szCs w:val="32"/>
        </w:rPr>
        <w:t>电话：13960642639</w:t>
      </w:r>
    </w:p>
    <w:p w14:paraId="2460E876">
      <w:pPr>
        <w:spacing w:line="520" w:lineRule="exact"/>
        <w:ind w:left="3520" w:hanging="3534" w:hangingChars="1100"/>
        <w:jc w:val="center"/>
      </w:pP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w:t>
      </w:r>
      <w:r>
        <w:rPr>
          <w:rFonts w:ascii="仿宋" w:hAnsi="仿宋" w:eastAsia="仿宋"/>
          <w:color w:val="000000" w:themeColor="text1"/>
          <w:kern w:val="0"/>
          <w:sz w:val="32"/>
          <w:szCs w:val="32"/>
          <w:highlight w:val="none"/>
          <w14:textFill>
            <w14:solidFill>
              <w14:schemeClr w14:val="tx1"/>
            </w14:solidFill>
          </w14:textFill>
        </w:rPr>
        <w:t>20</w:t>
      </w:r>
      <w:r>
        <w:rPr>
          <w:rFonts w:hint="eastAsia" w:ascii="仿宋" w:hAnsi="仿宋" w:eastAsia="仿宋"/>
          <w:color w:val="000000" w:themeColor="text1"/>
          <w:kern w:val="0"/>
          <w:sz w:val="32"/>
          <w:szCs w:val="32"/>
          <w:highlight w:val="none"/>
          <w14:textFill>
            <w14:solidFill>
              <w14:schemeClr w14:val="tx1"/>
            </w14:solidFill>
          </w14:textFill>
        </w:rPr>
        <w:t>2</w:t>
      </w:r>
      <w:r>
        <w:rPr>
          <w:rFonts w:hint="eastAsia" w:ascii="仿宋" w:hAnsi="仿宋" w:eastAsia="仿宋"/>
          <w:color w:val="000000" w:themeColor="text1"/>
          <w:kern w:val="0"/>
          <w:sz w:val="32"/>
          <w:szCs w:val="32"/>
          <w:highlight w:val="none"/>
          <w:lang w:val="en-US" w:eastAsia="zh-CN"/>
          <w14:textFill>
            <w14:solidFill>
              <w14:schemeClr w14:val="tx1"/>
            </w14:solidFill>
          </w14:textFill>
        </w:rPr>
        <w:t>4</w:t>
      </w:r>
      <w:r>
        <w:rPr>
          <w:rFonts w:hint="eastAsia" w:ascii="仿宋" w:hAnsi="仿宋" w:eastAsia="仿宋"/>
          <w:color w:val="000000" w:themeColor="text1"/>
          <w:kern w:val="0"/>
          <w:sz w:val="32"/>
          <w:szCs w:val="32"/>
          <w:highlight w:val="none"/>
          <w14:textFill>
            <w14:solidFill>
              <w14:schemeClr w14:val="tx1"/>
            </w14:solidFill>
          </w14:textFill>
        </w:rPr>
        <w:t>年12月</w:t>
      </w:r>
      <w:r>
        <w:rPr>
          <w:rFonts w:hint="eastAsia" w:ascii="仿宋" w:hAnsi="仿宋" w:eastAsia="仿宋"/>
          <w:color w:val="000000" w:themeColor="text1"/>
          <w:kern w:val="0"/>
          <w:sz w:val="32"/>
          <w:szCs w:val="32"/>
          <w:highlight w:val="none"/>
          <w:lang w:val="en-US" w:eastAsia="zh-CN"/>
          <w14:textFill>
            <w14:solidFill>
              <w14:schemeClr w14:val="tx1"/>
            </w14:solidFill>
          </w14:textFill>
        </w:rPr>
        <w:t>5</w:t>
      </w:r>
      <w:r>
        <w:rPr>
          <w:rFonts w:hint="eastAsia" w:ascii="仿宋" w:hAnsi="仿宋" w:eastAsia="仿宋"/>
          <w:color w:val="000000" w:themeColor="text1"/>
          <w:kern w:val="0"/>
          <w:sz w:val="32"/>
          <w:szCs w:val="32"/>
          <w:highlight w:val="none"/>
          <w14:textFill>
            <w14:solidFill>
              <w14:schemeClr w14:val="tx1"/>
            </w14:solidFill>
          </w14:textFill>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D0804"/>
    <w:rsid w:val="23F4608B"/>
    <w:rsid w:val="41FD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jc w:val="center"/>
      <w:outlineLvl w:val="0"/>
    </w:pPr>
    <w:rPr>
      <w:b/>
      <w:bCs/>
      <w:kern w:val="44"/>
      <w:sz w:val="44"/>
      <w:szCs w:val="44"/>
    </w:rPr>
  </w:style>
  <w:style w:type="paragraph" w:styleId="3">
    <w:name w:val="heading 3"/>
    <w:basedOn w:val="1"/>
    <w:next w:val="1"/>
    <w:qFormat/>
    <w:uiPriority w:val="99"/>
    <w:pPr>
      <w:keepNext/>
      <w:keepLines/>
      <w:spacing w:line="360" w:lineRule="auto"/>
      <w:outlineLvl w:val="2"/>
    </w:pPr>
    <w:rPr>
      <w:b/>
      <w:bCs/>
      <w:sz w:val="24"/>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2024-12-06T00:19:00Z</dcterms:created>
  <dc:creator>邓慧珑</dc:creator>
  <cp:lastModifiedBy>邓慧珑</cp:lastModifiedBy>
  <dcterms:modified xsi:type="dcterms:W3CDTF">2024-12-06T00:20:55Z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CFCFEB5A4952430EABF14FE5AFA09B56_11</vt:lpwstr>
  </property>
</Properties>
</file>