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40AAB">
      <w:pPr>
        <w:pStyle w:val="2"/>
        <w:rPr>
          <w:rFonts w:ascii="仿宋" w:hAnsi="仿宋" w:eastAsia="仿宋" w:cs="方正小标宋简体"/>
          <w:color w:val="000000" w:themeColor="text1"/>
          <w:sz w:val="32"/>
          <w:szCs w:val="32"/>
          <w14:textFill>
            <w14:solidFill>
              <w14:schemeClr w14:val="tx1"/>
            </w14:solidFill>
          </w14:textFill>
        </w:rPr>
      </w:pPr>
      <w:bookmarkStart w:id="0" w:name="_Toc486924194"/>
      <w:r>
        <w:rPr>
          <w:rFonts w:hint="eastAsia" w:ascii="仿宋" w:hAnsi="仿宋" w:eastAsia="仿宋" w:cs="方正小标宋简体"/>
          <w:color w:val="000000" w:themeColor="text1"/>
          <w:sz w:val="32"/>
          <w:szCs w:val="32"/>
          <w14:textFill>
            <w14:solidFill>
              <w14:schemeClr w14:val="tx1"/>
            </w14:solidFill>
          </w14:textFill>
        </w:rPr>
        <w:t>第一章</w:t>
      </w:r>
      <w:bookmarkEnd w:id="0"/>
      <w:r>
        <w:rPr>
          <w:rFonts w:hint="eastAsia" w:ascii="仿宋" w:hAnsi="仿宋" w:eastAsia="仿宋" w:cs="方正小标宋简体"/>
          <w:color w:val="000000" w:themeColor="text1"/>
          <w:sz w:val="32"/>
          <w:szCs w:val="32"/>
          <w14:textFill>
            <w14:solidFill>
              <w14:schemeClr w14:val="tx1"/>
            </w14:solidFill>
          </w14:textFill>
        </w:rPr>
        <w:t>公告</w:t>
      </w:r>
    </w:p>
    <w:p w14:paraId="7287EE71">
      <w:pPr>
        <w:jc w:val="center"/>
        <w:rPr>
          <w:rFonts w:ascii="仿宋" w:hAnsi="仿宋" w:eastAsia="仿宋"/>
          <w:b/>
          <w:bCs/>
          <w:color w:val="000000" w:themeColor="text1"/>
          <w:sz w:val="32"/>
          <w:szCs w:val="32"/>
          <w14:textFill>
            <w14:solidFill>
              <w14:schemeClr w14:val="tx1"/>
            </w14:solidFill>
          </w14:textFill>
        </w:rPr>
      </w:pPr>
      <w:bookmarkStart w:id="1" w:name="_Toc204055778"/>
      <w:bookmarkStart w:id="2" w:name="_Toc245379316"/>
      <w:bookmarkStart w:id="3" w:name="_Toc222740105"/>
      <w:bookmarkStart w:id="4" w:name="_Toc234382570"/>
      <w:bookmarkStart w:id="5" w:name="_Toc344732466"/>
      <w:bookmarkStart w:id="6" w:name="_Toc243402045"/>
      <w:bookmarkStart w:id="7" w:name="_Toc243796160"/>
      <w:r>
        <w:rPr>
          <w:rFonts w:hint="eastAsia" w:ascii="仿宋" w:hAnsi="仿宋" w:eastAsia="仿宋"/>
          <w:color w:val="000000" w:themeColor="text1"/>
          <w:sz w:val="32"/>
          <w:szCs w:val="32"/>
          <w:u w:val="none"/>
          <w:lang w:val="en-US" w:eastAsia="zh-CN"/>
          <w14:textFill>
            <w14:solidFill>
              <w14:schemeClr w14:val="tx1"/>
            </w14:solidFill>
          </w14:textFill>
        </w:rPr>
        <w:t xml:space="preserve"> 2025-2027年</w:t>
      </w:r>
      <w:r>
        <w:rPr>
          <w:rFonts w:hint="eastAsia" w:ascii="仿宋" w:hAnsi="仿宋" w:eastAsia="仿宋"/>
          <w:b/>
          <w:bCs/>
          <w:color w:val="000000" w:themeColor="text1"/>
          <w:sz w:val="32"/>
          <w:szCs w:val="32"/>
          <w14:textFill>
            <w14:solidFill>
              <w14:schemeClr w14:val="tx1"/>
            </w14:solidFill>
          </w14:textFill>
        </w:rPr>
        <w:t>龙浦高速、武邵高速、延顺高速、邵光高速、顺邵高速、</w:t>
      </w:r>
      <w:r>
        <w:rPr>
          <w:rFonts w:hint="eastAsia" w:ascii="仿宋" w:hAnsi="仿宋" w:eastAsia="仿宋" w:cs="Times New Roman"/>
          <w:b/>
          <w:bCs/>
          <w:color w:val="000000" w:themeColor="text1"/>
          <w:sz w:val="32"/>
          <w:szCs w:val="32"/>
          <w:u w:val="none"/>
          <w14:textFill>
            <w14:solidFill>
              <w14:schemeClr w14:val="tx1"/>
            </w14:solidFill>
          </w14:textFill>
        </w:rPr>
        <w:t>武沙高速合掌岩互通</w:t>
      </w:r>
      <w:r>
        <w:rPr>
          <w:rFonts w:hint="eastAsia" w:ascii="仿宋" w:hAnsi="仿宋" w:eastAsia="仿宋" w:cs="Times New Roman"/>
          <w:b/>
          <w:bCs/>
          <w:color w:val="000000" w:themeColor="text1"/>
          <w:sz w:val="32"/>
          <w:szCs w:val="32"/>
          <w:u w:val="none"/>
          <w:lang w:val="en-US" w:eastAsia="zh-CN"/>
          <w14:textFill>
            <w14:solidFill>
              <w14:schemeClr w14:val="tx1"/>
            </w14:solidFill>
          </w14:textFill>
        </w:rPr>
        <w:t>及</w:t>
      </w:r>
      <w:r>
        <w:rPr>
          <w:rFonts w:hint="eastAsia" w:ascii="仿宋" w:hAnsi="仿宋" w:eastAsia="仿宋" w:cs="Times New Roman"/>
          <w:b/>
          <w:bCs/>
          <w:color w:val="000000" w:themeColor="text1"/>
          <w:sz w:val="32"/>
          <w:szCs w:val="32"/>
          <w:u w:val="none"/>
          <w:lang w:eastAsia="zh-CN"/>
          <w14:textFill>
            <w14:solidFill>
              <w14:schemeClr w14:val="tx1"/>
            </w14:solidFill>
          </w14:textFill>
        </w:rPr>
        <w:t>南平高速运营管理中心绿化</w:t>
      </w:r>
      <w:r>
        <w:rPr>
          <w:rFonts w:hint="eastAsia" w:ascii="仿宋" w:hAnsi="仿宋" w:eastAsia="仿宋" w:cs="Times New Roman"/>
          <w:b/>
          <w:bCs/>
          <w:color w:val="000000" w:themeColor="text1"/>
          <w:sz w:val="32"/>
          <w:szCs w:val="32"/>
          <w:u w:val="none"/>
          <w14:textFill>
            <w14:solidFill>
              <w14:schemeClr w14:val="tx1"/>
            </w14:solidFill>
          </w14:textFill>
        </w:rPr>
        <w:t>日常养护工程班</w:t>
      </w:r>
      <w:r>
        <w:rPr>
          <w:rFonts w:hint="eastAsia" w:ascii="仿宋" w:hAnsi="仿宋" w:eastAsia="仿宋"/>
          <w:b/>
          <w:bCs/>
          <w:color w:val="000000" w:themeColor="text1"/>
          <w:sz w:val="32"/>
          <w:szCs w:val="32"/>
          <w14:textFill>
            <w14:solidFill>
              <w14:schemeClr w14:val="tx1"/>
            </w14:solidFill>
          </w14:textFill>
        </w:rPr>
        <w:t>组选择公告</w:t>
      </w:r>
    </w:p>
    <w:p w14:paraId="09DEAF33">
      <w:pPr>
        <w:spacing w:line="360" w:lineRule="auto"/>
        <w:ind w:firstLine="624" w:firstLineChars="200"/>
        <w:jc w:val="left"/>
        <w:rPr>
          <w:rFonts w:ascii="仿宋" w:hAnsi="仿宋" w:eastAsia="仿宋"/>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u w:val="single"/>
          <w14:textFill>
            <w14:solidFill>
              <w14:schemeClr w14:val="tx1"/>
            </w14:solidFill>
          </w14:textFill>
        </w:rPr>
        <w:t>龙浦高速、武邵高速、延顺高速、邵光高速、顺邵高速、</w:t>
      </w:r>
      <w:r>
        <w:rPr>
          <w:rFonts w:hint="eastAsia" w:ascii="仿宋_GB2312" w:hAnsi="仿宋_GB2312" w:eastAsia="仿宋_GB2312" w:cs="仿宋_GB2312"/>
          <w:sz w:val="32"/>
          <w:szCs w:val="32"/>
          <w:u w:val="single"/>
        </w:rPr>
        <w:t>武沙高速合掌岩互通</w:t>
      </w:r>
      <w:r>
        <w:rPr>
          <w:rFonts w:hint="eastAsia" w:ascii="仿宋_GB2312" w:hAnsi="仿宋_GB2312" w:eastAsia="仿宋_GB2312" w:cs="仿宋_GB2312"/>
          <w:sz w:val="32"/>
          <w:szCs w:val="32"/>
          <w:u w:val="single"/>
          <w:lang w:val="en-US" w:eastAsia="zh-CN"/>
        </w:rPr>
        <w:t>及</w:t>
      </w:r>
      <w:r>
        <w:rPr>
          <w:rFonts w:hint="eastAsia" w:ascii="仿宋" w:hAnsi="仿宋" w:eastAsia="仿宋"/>
          <w:color w:val="000000" w:themeColor="text1"/>
          <w:sz w:val="32"/>
          <w:szCs w:val="32"/>
          <w:u w:val="single"/>
          <w:lang w:eastAsia="zh-CN"/>
          <w14:textFill>
            <w14:solidFill>
              <w14:schemeClr w14:val="tx1"/>
            </w14:solidFill>
          </w14:textFill>
        </w:rPr>
        <w:t>南平高速运营管理中心绿化</w:t>
      </w:r>
      <w:r>
        <w:rPr>
          <w:rFonts w:hint="eastAsia" w:ascii="仿宋_GB2312" w:hAnsi="仿宋_GB2312" w:eastAsia="仿宋_GB2312" w:cs="仿宋_GB2312"/>
          <w:color w:val="000000" w:themeColor="text1"/>
          <w:spacing w:val="-4"/>
          <w:sz w:val="32"/>
          <w:szCs w:val="32"/>
          <w:u w:val="single"/>
          <w14:textFill>
            <w14:solidFill>
              <w14:schemeClr w14:val="tx1"/>
            </w14:solidFill>
          </w14:textFill>
        </w:rPr>
        <w:t>日常养护工程</w:t>
      </w:r>
      <w:r>
        <w:rPr>
          <w:rFonts w:hint="eastAsia" w:ascii="仿宋_GB2312" w:hAnsi="仿宋_GB2312" w:eastAsia="仿宋_GB2312" w:cs="仿宋_GB2312"/>
          <w:color w:val="000000" w:themeColor="text1"/>
          <w:spacing w:val="-4"/>
          <w:sz w:val="32"/>
          <w:szCs w:val="32"/>
          <w14:textFill>
            <w14:solidFill>
              <w14:schemeClr w14:val="tx1"/>
            </w14:solidFill>
          </w14:textFill>
        </w:rPr>
        <w:t>由南平武夷集团所属子公司南平市高建养护工程有限公司承建。现根据</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南武发工【2023】30号</w:t>
      </w:r>
      <w:r>
        <w:rPr>
          <w:rFonts w:hint="eastAsia" w:ascii="仿宋_GB2312" w:hAnsi="仿宋_GB2312" w:eastAsia="仿宋_GB2312" w:cs="仿宋_GB2312"/>
          <w:color w:val="000000" w:themeColor="text1"/>
          <w:spacing w:val="-4"/>
          <w:sz w:val="32"/>
          <w:szCs w:val="32"/>
          <w14:textFill>
            <w14:solidFill>
              <w14:schemeClr w14:val="tx1"/>
            </w14:solidFill>
          </w14:textFill>
        </w:rPr>
        <w:t>《</w:t>
      </w:r>
      <w:r>
        <w:rPr>
          <w:rFonts w:hint="eastAsia" w:ascii="仿宋_GB2312" w:hAnsi="仿宋_GB2312" w:eastAsia="仿宋_GB2312" w:cs="仿宋_GB2312"/>
          <w:color w:val="000000"/>
          <w:spacing w:val="-4"/>
          <w:sz w:val="32"/>
          <w:szCs w:val="32"/>
        </w:rPr>
        <w:t>工程劳务施工班组选择管理办法（试行</w:t>
      </w:r>
      <w:r>
        <w:rPr>
          <w:rFonts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themeColor="text1"/>
          <w:spacing w:val="-4"/>
          <w:sz w:val="32"/>
          <w:szCs w:val="32"/>
          <w14:textFill>
            <w14:solidFill>
              <w14:schemeClr w14:val="tx1"/>
            </w14:solidFill>
          </w14:textFill>
        </w:rPr>
        <w:t>》，制定如下选择方案。</w:t>
      </w:r>
    </w:p>
    <w:p w14:paraId="5C8BB03C">
      <w:pPr>
        <w:spacing w:line="580" w:lineRule="exact"/>
        <w:ind w:firstLine="640" w:firstLineChars="200"/>
        <w:rPr>
          <w:rFonts w:ascii="仿宋" w:hAnsi="仿宋" w:eastAsia="仿宋"/>
          <w:color w:val="000000" w:themeColor="text1"/>
          <w:sz w:val="32"/>
          <w:szCs w:val="32"/>
          <w14:textFill>
            <w14:solidFill>
              <w14:schemeClr w14:val="tx1"/>
            </w14:solidFill>
          </w14:textFill>
        </w:rPr>
      </w:pPr>
      <w:bookmarkStart w:id="8" w:name="_Toc234382576"/>
      <w:r>
        <w:rPr>
          <w:rFonts w:hint="eastAsia" w:ascii="黑体" w:hAnsi="黑体" w:eastAsia="黑体" w:cs="黑体"/>
          <w:color w:val="000000" w:themeColor="text1"/>
          <w:sz w:val="32"/>
          <w:szCs w:val="32"/>
          <w14:textFill>
            <w14:solidFill>
              <w14:schemeClr w14:val="tx1"/>
            </w14:solidFill>
          </w14:textFill>
        </w:rPr>
        <w:t>一、项目概况</w:t>
      </w:r>
    </w:p>
    <w:p w14:paraId="7D0485CD">
      <w:pPr>
        <w:spacing w:line="580" w:lineRule="exact"/>
        <w:ind w:firstLine="640" w:firstLineChars="200"/>
        <w:rPr>
          <w:rFonts w:hint="eastAsia" w:ascii="仿宋" w:hAnsi="仿宋" w:eastAsia="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（一）工程名称</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标段号</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117378E5">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、龙浦高速日常养护工程。</w:t>
      </w:r>
    </w:p>
    <w:p w14:paraId="5AAE465A">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、武邵高速（麻沙段）日常养护工程。</w:t>
      </w:r>
    </w:p>
    <w:p w14:paraId="025C4198">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、武邵高速（邵武西段）日常养护工程。</w:t>
      </w:r>
    </w:p>
    <w:p w14:paraId="48E693A2">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、延顺高速日常养护工程。</w:t>
      </w:r>
    </w:p>
    <w:p w14:paraId="32AC277D">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5</w:t>
      </w:r>
      <w:r>
        <w:rPr>
          <w:rFonts w:hint="eastAsia" w:ascii="仿宋_GB2312" w:hAnsi="仿宋_GB2312" w:eastAsia="仿宋_GB2312" w:cs="仿宋_GB2312"/>
          <w:bCs/>
          <w:color w:val="000000" w:themeColor="text1"/>
          <w:sz w:val="32"/>
          <w:szCs w:val="32"/>
          <w14:textFill>
            <w14:solidFill>
              <w14:schemeClr w14:val="tx1"/>
            </w14:solidFill>
          </w14:textFill>
        </w:rPr>
        <w:t>、邵光高速日常养护工程。</w:t>
      </w:r>
    </w:p>
    <w:p w14:paraId="1149C43A">
      <w:pPr>
        <w:spacing w:line="58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w:t>
      </w:r>
      <w:r>
        <w:rPr>
          <w:rFonts w:hint="eastAsia" w:ascii="仿宋_GB2312" w:hAnsi="仿宋_GB2312" w:eastAsia="仿宋_GB2312" w:cs="仿宋_GB2312"/>
          <w:bCs/>
          <w:color w:val="000000" w:themeColor="text1"/>
          <w:sz w:val="32"/>
          <w:szCs w:val="32"/>
          <w14:textFill>
            <w14:solidFill>
              <w14:schemeClr w14:val="tx1"/>
            </w14:solidFill>
          </w14:textFill>
        </w:rPr>
        <w:t>、顺邵高速、</w:t>
      </w:r>
      <w:r>
        <w:rPr>
          <w:rFonts w:hint="eastAsia" w:ascii="仿宋_GB2312" w:hAnsi="仿宋_GB2312" w:eastAsia="仿宋_GB2312" w:cs="仿宋_GB2312"/>
          <w:b w:val="0"/>
          <w:bCs/>
          <w:color w:val="000000" w:themeColor="text1"/>
          <w:sz w:val="32"/>
          <w:szCs w:val="32"/>
          <w14:textFill>
            <w14:solidFill>
              <w14:schemeClr w14:val="tx1"/>
            </w14:solidFill>
          </w14:textFill>
        </w:rPr>
        <w:t>武沙高速</w:t>
      </w:r>
      <w:r>
        <w:rPr>
          <w:rFonts w:hint="eastAsia" w:ascii="仿宋_GB2312" w:hAnsi="仿宋_GB2312" w:eastAsia="仿宋_GB2312" w:cs="仿宋_GB2312"/>
          <w:bCs/>
          <w:color w:val="000000" w:themeColor="text1"/>
          <w:sz w:val="32"/>
          <w:szCs w:val="32"/>
          <w14:textFill>
            <w14:solidFill>
              <w14:schemeClr w14:val="tx1"/>
            </w14:solidFill>
          </w14:textFill>
        </w:rPr>
        <w:t>合掌岩互通日常养护工程。</w:t>
      </w:r>
    </w:p>
    <w:p w14:paraId="41DA94FA">
      <w:pPr>
        <w:pStyle w:val="4"/>
        <w:ind w:left="0" w:leftChars="0" w:firstLine="640" w:firstLineChars="200"/>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7、</w:t>
      </w:r>
      <w:r>
        <w:rPr>
          <w:rFonts w:hint="eastAsia" w:ascii="仿宋" w:hAnsi="仿宋" w:eastAsia="仿宋"/>
          <w:color w:val="000000" w:themeColor="text1"/>
          <w:sz w:val="32"/>
          <w:szCs w:val="32"/>
          <w:u w:val="none"/>
          <w:lang w:eastAsia="zh-CN"/>
          <w14:textFill>
            <w14:solidFill>
              <w14:schemeClr w14:val="tx1"/>
            </w14:solidFill>
          </w14:textFill>
        </w:rPr>
        <w:t>南平高速运营管理中心绿化</w:t>
      </w:r>
      <w:r>
        <w:rPr>
          <w:rFonts w:hint="eastAsia" w:ascii="仿宋_GB2312" w:hAnsi="仿宋_GB2312" w:eastAsia="仿宋_GB2312" w:cs="仿宋_GB2312"/>
          <w:bCs/>
          <w:color w:val="000000" w:themeColor="text1"/>
          <w:sz w:val="32"/>
          <w:szCs w:val="32"/>
          <w:u w:val="none"/>
          <w14:textFill>
            <w14:solidFill>
              <w14:schemeClr w14:val="tx1"/>
            </w14:solidFill>
          </w14:textFill>
        </w:rPr>
        <w:t>日常养护工程</w:t>
      </w:r>
      <w:r>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中选班组不计中选次数</w:t>
      </w:r>
      <w:r>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t>）</w:t>
      </w:r>
    </w:p>
    <w:p w14:paraId="51A9FE98">
      <w:pPr>
        <w:spacing w:line="264"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风险提醒：因</w:t>
      </w:r>
      <w:r>
        <w:rPr>
          <w:rFonts w:hint="eastAsia" w:ascii="宋体" w:hAnsi="宋体" w:cs="宋体"/>
          <w:b/>
          <w:color w:val="auto"/>
          <w:sz w:val="28"/>
          <w:szCs w:val="28"/>
          <w:highlight w:val="none"/>
          <w:lang w:val="en-US" w:eastAsia="zh-CN"/>
        </w:rPr>
        <w:t>养护路段</w:t>
      </w:r>
      <w:r>
        <w:rPr>
          <w:rFonts w:hint="eastAsia" w:ascii="宋体" w:hAnsi="宋体" w:cs="宋体"/>
          <w:b/>
          <w:color w:val="auto"/>
          <w:sz w:val="28"/>
          <w:szCs w:val="28"/>
          <w:highlight w:val="none"/>
        </w:rPr>
        <w:t>可能存在政策性调整，各个标段工程规模可能存在变动，请谨慎</w:t>
      </w:r>
      <w:r>
        <w:rPr>
          <w:rFonts w:hint="eastAsia" w:ascii="宋体" w:hAnsi="宋体" w:cs="宋体"/>
          <w:b/>
          <w:color w:val="auto"/>
          <w:sz w:val="28"/>
          <w:szCs w:val="28"/>
          <w:highlight w:val="none"/>
          <w:lang w:val="en-US" w:eastAsia="zh-CN"/>
        </w:rPr>
        <w:t>参选</w:t>
      </w:r>
      <w:r>
        <w:rPr>
          <w:rFonts w:hint="eastAsia" w:ascii="宋体" w:hAnsi="宋体" w:cs="宋体"/>
          <w:b/>
          <w:color w:val="auto"/>
          <w:sz w:val="28"/>
          <w:szCs w:val="28"/>
          <w:highlight w:val="none"/>
        </w:rPr>
        <w:t>。</w:t>
      </w:r>
    </w:p>
    <w:p w14:paraId="74C48284">
      <w:pPr>
        <w:pStyle w:val="4"/>
        <w:ind w:left="0" w:leftChars="0" w:firstLine="640" w:firstLineChars="200"/>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pPr>
    </w:p>
    <w:p w14:paraId="067E393E">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（二）施工内容</w:t>
      </w:r>
    </w:p>
    <w:p w14:paraId="197F9AC3">
      <w:pPr>
        <w:spacing w:line="58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、日常普修：</w:t>
      </w:r>
    </w:p>
    <w:p w14:paraId="572957F6">
      <w:pPr>
        <w:spacing w:line="58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）路基边坡人工保洁；（</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）涵洞清理；（</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）截水沟、排水沟、边沟、上下边坡平台清理；（</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）隧道缝隙式水沟清理及轮廓标、标志牌擦洗；（</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）桥梁墩台下部垃圾清理；（</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）上、下边坡修剪等。</w:t>
      </w:r>
    </w:p>
    <w:p w14:paraId="3992FA44">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、小水毁、小专项工程：</w:t>
      </w:r>
    </w:p>
    <w:p w14:paraId="3CC3672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小水毁工程指在日常养护管理中发现的属于日常养护合同范围内的水毁缺陷修复包括沿线土石方的清除以及路基及构造物零星修复。小专项工程主要是指日常养护合同范围外的小于</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万元的专项工程。上述工程由甲方项目组技术人员或养护站人员发现并下达任务通知书后进行修复。</w:t>
      </w:r>
    </w:p>
    <w:p w14:paraId="3E43B279">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、绿化养护工作内容</w:t>
      </w:r>
    </w:p>
    <w:p w14:paraId="1CD736FD">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详见《</w:t>
      </w:r>
      <w:r>
        <w:rPr>
          <w:rFonts w:hint="eastAsia" w:ascii="仿宋_GB2312" w:hAnsi="仿宋_GB2312" w:eastAsia="仿宋_GB2312" w:cs="仿宋_GB2312"/>
          <w:bCs/>
          <w:color w:val="000000" w:themeColor="text1"/>
          <w:kern w:val="0"/>
          <w:sz w:val="32"/>
          <w:szCs w:val="32"/>
          <w14:textFill>
            <w14:solidFill>
              <w14:schemeClr w14:val="tx1"/>
            </w14:solidFill>
          </w14:textFill>
        </w:rPr>
        <w:t>高速公路绿化养护承包合同单价清单</w:t>
      </w:r>
      <w:r>
        <w:rPr>
          <w:rFonts w:hint="eastAsia" w:ascii="仿宋_GB2312" w:hAnsi="仿宋_GB2312" w:eastAsia="仿宋_GB2312" w:cs="仿宋_GB2312"/>
          <w:color w:val="000000" w:themeColor="text1"/>
          <w:sz w:val="32"/>
          <w:szCs w:val="32"/>
          <w14:textFill>
            <w14:solidFill>
              <w14:schemeClr w14:val="tx1"/>
            </w14:solidFill>
          </w14:textFill>
        </w:rPr>
        <w:t>》</w:t>
      </w:r>
    </w:p>
    <w:p w14:paraId="68D755B6">
      <w:pPr>
        <w:pStyle w:val="4"/>
        <w:ind w:left="0" w:leftChars="0" w:firstLine="640" w:firstLineChars="200"/>
        <w:rPr>
          <w:rFonts w:hint="eastAsia" w:ascii="仿宋_GB2312" w:hAnsi="仿宋_GB2312" w:eastAsia="仿宋_GB2312" w:cs="仿宋_GB2312"/>
          <w:bCs/>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u w:val="none"/>
          <w:lang w:eastAsia="zh-CN"/>
          <w14:textFill>
            <w14:solidFill>
              <w14:schemeClr w14:val="tx1"/>
            </w14:solidFill>
          </w14:textFill>
        </w:rPr>
        <w:t>南平高速运营管理中心绿化日常养护工程，</w:t>
      </w:r>
      <w:r>
        <w:rPr>
          <w:rFonts w:hint="eastAsia" w:ascii="仿宋_GB2312" w:hAnsi="仿宋_GB2312" w:eastAsia="仿宋_GB2312" w:cs="仿宋_GB2312"/>
          <w:bCs/>
          <w:color w:val="000000" w:themeColor="text1"/>
          <w:kern w:val="0"/>
          <w:sz w:val="32"/>
          <w:szCs w:val="32"/>
          <w:u w:val="none"/>
          <w:lang w:val="en-US" w:eastAsia="zh-CN"/>
          <w14:textFill>
            <w14:solidFill>
              <w14:schemeClr w14:val="tx1"/>
            </w14:solidFill>
          </w14:textFill>
        </w:rPr>
        <w:t>包括但不限于施肥、浇水、排涝、除草、病虫害防治、刷白、松土整穴、修剪、垃圾清运。</w:t>
      </w:r>
    </w:p>
    <w:p w14:paraId="3C3D9645">
      <w:pPr>
        <w:spacing w:line="5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（三）项目施工范围</w:t>
      </w:r>
    </w:p>
    <w:p w14:paraId="0446E969">
      <w:pPr>
        <w:spacing w:line="580" w:lineRule="exact"/>
        <w:ind w:firstLine="640" w:firstLineChars="200"/>
        <w:rPr>
          <w:rFonts w:ascii="仿宋"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龙浦高速、武邵高速、延顺高速、邵光高速、顺邵高速、武沙高速合掌岩互通</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及</w:t>
      </w:r>
      <w:r>
        <w:rPr>
          <w:rFonts w:hint="eastAsia" w:ascii="仿宋" w:hAnsi="仿宋" w:eastAsia="仿宋"/>
          <w:color w:val="000000" w:themeColor="text1"/>
          <w:sz w:val="32"/>
          <w:szCs w:val="32"/>
          <w:u w:val="none"/>
          <w14:textFill>
            <w14:solidFill>
              <w14:schemeClr w14:val="tx1"/>
            </w14:solidFill>
          </w14:textFill>
        </w:rPr>
        <w:t>南平高速运营管理中心园林景观绿化</w:t>
      </w:r>
      <w:r>
        <w:rPr>
          <w:rFonts w:hint="eastAsia" w:ascii="仿宋" w:hAnsi="仿宋" w:eastAsia="仿宋"/>
          <w:color w:val="000000" w:themeColor="text1"/>
          <w:sz w:val="32"/>
          <w:szCs w:val="32"/>
          <w:u w:val="none"/>
          <w:lang w:eastAsia="zh-CN"/>
          <w14:textFill>
            <w14:solidFill>
              <w14:schemeClr w14:val="tx1"/>
            </w14:solidFill>
          </w14:textFill>
        </w:rPr>
        <w:t>（</w:t>
      </w:r>
      <w:r>
        <w:rPr>
          <w:rFonts w:hint="eastAsia" w:ascii="仿宋" w:hAnsi="仿宋" w:eastAsia="仿宋" w:cs="Times New Roman"/>
          <w:color w:val="000000" w:themeColor="text1"/>
          <w:sz w:val="32"/>
          <w:szCs w:val="32"/>
          <w:u w:val="none"/>
          <w:lang w:eastAsia="zh-CN"/>
          <w14:textFill>
            <w14:solidFill>
              <w14:schemeClr w14:val="tx1"/>
            </w14:solidFill>
          </w14:textFill>
        </w:rPr>
        <w:t>B地块及公建区、C地块、D地块）</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2AA459B4">
      <w:pPr>
        <w:spacing w:line="5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（四）工程造价</w:t>
      </w:r>
    </w:p>
    <w:p w14:paraId="451BAFEF">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根据固定清单单价按实际发生工作量计（清单单价见合同格式后附件）</w:t>
      </w:r>
    </w:p>
    <w:p w14:paraId="7DADBE04">
      <w:pPr>
        <w:spacing w:line="580" w:lineRule="exact"/>
        <w:ind w:firstLine="640"/>
        <w:jc w:val="left"/>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二、资格要求</w:t>
      </w:r>
    </w:p>
    <w:p w14:paraId="43C2BBF3">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属于武夷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集团有限公司养护班组库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养护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w:t>
      </w:r>
      <w:r>
        <w:rPr>
          <w:rFonts w:hint="eastAsia" w:ascii="仿宋_GB2312" w:hAnsi="仿宋_GB2312" w:eastAsia="仿宋_GB2312" w:cs="仿宋_GB2312"/>
          <w:color w:val="000000" w:themeColor="text1"/>
          <w:sz w:val="32"/>
          <w:szCs w:val="32"/>
          <w14:textFill>
            <w14:solidFill>
              <w14:schemeClr w14:val="tx1"/>
            </w14:solidFill>
          </w14:textFill>
        </w:rPr>
        <w:t>类班组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资质证书在有效期内、已中选联络线及省道303横二线日常养护的班组除外）</w:t>
      </w:r>
      <w:r>
        <w:rPr>
          <w:rFonts w:hint="eastAsia" w:ascii="仿宋_GB2312" w:hAnsi="仿宋_GB2312" w:eastAsia="仿宋_GB2312" w:cs="仿宋_GB2312"/>
          <w:color w:val="000000" w:themeColor="text1"/>
          <w:sz w:val="32"/>
          <w:szCs w:val="32"/>
          <w14:textFill>
            <w14:solidFill>
              <w14:schemeClr w14:val="tx1"/>
            </w14:solidFill>
          </w14:textFill>
        </w:rPr>
        <w:t>；</w:t>
      </w:r>
    </w:p>
    <w:p w14:paraId="40651A55">
      <w:pPr>
        <w:spacing w:beforeLines="-2147483648" w:afterLines="-2147483648" w:line="58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2、原则上在约定的期限内班组的作业内容可包含日常养护工作及200万以下的专项养护项目，若班组资质不具备相应专项工程对应专业资质要求，则按相关规定另选班组。</w:t>
      </w:r>
    </w:p>
    <w:p w14:paraId="2DB951F6">
      <w:pPr>
        <w:spacing w:beforeLines="-2147483648" w:afterLines="-2147483648" w:line="580" w:lineRule="exact"/>
        <w:ind w:firstLine="640" w:firstLineChars="200"/>
        <w:jc w:val="center"/>
        <w:rPr>
          <w:rFonts w:eastAsia="黑体"/>
          <w:bCs/>
          <w:kern w:val="0"/>
          <w:sz w:val="32"/>
          <w:szCs w:val="20"/>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拟派出的现场负责人需提交本人在本公司近</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个月中至少连续</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个月的社保证明。(近6个月指202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月至今)</w:t>
      </w:r>
      <w:r>
        <w:rPr>
          <w:rFonts w:hint="eastAsia" w:eastAsia="黑体"/>
          <w:kern w:val="0"/>
          <w:sz w:val="32"/>
          <w:szCs w:val="20"/>
        </w:rPr>
        <w:t>日常养护各标段施工人员机械设备最低要求</w:t>
      </w:r>
    </w:p>
    <w:tbl>
      <w:tblPr>
        <w:tblStyle w:val="5"/>
        <w:tblW w:w="775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050"/>
        <w:gridCol w:w="4845"/>
      </w:tblGrid>
      <w:tr w14:paraId="5A27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863" w:type="dxa"/>
            <w:noWrap/>
            <w:vAlign w:val="center"/>
          </w:tcPr>
          <w:p w14:paraId="586BC5D7">
            <w:pPr>
              <w:jc w:val="center"/>
              <w:rPr>
                <w:rFonts w:ascii="宋体" w:hAnsi="宋体"/>
                <w:bCs/>
                <w:color w:val="000000"/>
                <w:sz w:val="24"/>
              </w:rPr>
            </w:pPr>
            <w:r>
              <w:rPr>
                <w:rFonts w:hint="eastAsia" w:ascii="宋体" w:hAnsi="宋体"/>
                <w:bCs/>
                <w:color w:val="000000"/>
                <w:sz w:val="24"/>
              </w:rPr>
              <w:t>岗位名称</w:t>
            </w:r>
          </w:p>
        </w:tc>
        <w:tc>
          <w:tcPr>
            <w:tcW w:w="1050" w:type="dxa"/>
            <w:noWrap/>
            <w:vAlign w:val="center"/>
          </w:tcPr>
          <w:p w14:paraId="6226091F">
            <w:pPr>
              <w:jc w:val="center"/>
              <w:rPr>
                <w:rFonts w:ascii="宋体" w:hAnsi="宋体"/>
                <w:bCs/>
                <w:color w:val="000000"/>
                <w:sz w:val="24"/>
              </w:rPr>
            </w:pPr>
            <w:r>
              <w:rPr>
                <w:rFonts w:hint="eastAsia" w:ascii="宋体" w:hAnsi="宋体" w:cs="宋体"/>
                <w:color w:val="000000"/>
                <w:sz w:val="24"/>
              </w:rPr>
              <w:t>数  量</w:t>
            </w:r>
          </w:p>
        </w:tc>
        <w:tc>
          <w:tcPr>
            <w:tcW w:w="4845" w:type="dxa"/>
            <w:noWrap/>
            <w:vAlign w:val="center"/>
          </w:tcPr>
          <w:p w14:paraId="069AB2BB">
            <w:pPr>
              <w:jc w:val="center"/>
              <w:rPr>
                <w:rFonts w:ascii="宋体" w:hAnsi="宋体"/>
                <w:bCs/>
                <w:color w:val="000000"/>
                <w:sz w:val="24"/>
              </w:rPr>
            </w:pPr>
            <w:r>
              <w:rPr>
                <w:rFonts w:hint="eastAsia" w:ascii="宋体" w:hAnsi="宋体" w:cs="宋体"/>
                <w:color w:val="000000"/>
                <w:sz w:val="24"/>
              </w:rPr>
              <w:t>资 格 要 求</w:t>
            </w:r>
          </w:p>
        </w:tc>
      </w:tr>
      <w:tr w14:paraId="50CD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exact"/>
        </w:trPr>
        <w:tc>
          <w:tcPr>
            <w:tcW w:w="1863" w:type="dxa"/>
            <w:noWrap/>
          </w:tcPr>
          <w:p w14:paraId="57123691">
            <w:pPr>
              <w:jc w:val="center"/>
              <w:rPr>
                <w:rFonts w:ascii="宋体" w:hAnsi="宋体"/>
                <w:bCs/>
                <w:color w:val="000000"/>
                <w:sz w:val="24"/>
              </w:rPr>
            </w:pPr>
            <w:r>
              <w:rPr>
                <w:rFonts w:hint="eastAsia" w:ascii="宋体" w:hAnsi="宋体"/>
                <w:bCs/>
                <w:color w:val="000000"/>
                <w:sz w:val="24"/>
              </w:rPr>
              <w:t>项目经理</w:t>
            </w:r>
          </w:p>
        </w:tc>
        <w:tc>
          <w:tcPr>
            <w:tcW w:w="1050" w:type="dxa"/>
            <w:noWrap/>
          </w:tcPr>
          <w:p w14:paraId="072373C0">
            <w:pPr>
              <w:jc w:val="center"/>
              <w:rPr>
                <w:rFonts w:ascii="宋体" w:hAnsi="宋体"/>
                <w:bCs/>
                <w:color w:val="000000"/>
                <w:sz w:val="24"/>
              </w:rPr>
            </w:pPr>
            <w:r>
              <w:rPr>
                <w:rFonts w:hint="eastAsia" w:ascii="宋体" w:hAnsi="宋体"/>
                <w:bCs/>
                <w:color w:val="000000"/>
                <w:sz w:val="24"/>
              </w:rPr>
              <w:t>1人</w:t>
            </w:r>
          </w:p>
        </w:tc>
        <w:tc>
          <w:tcPr>
            <w:tcW w:w="4845" w:type="dxa"/>
            <w:noWrap/>
          </w:tcPr>
          <w:p w14:paraId="7FA0B54A">
            <w:pPr>
              <w:rPr>
                <w:rFonts w:ascii="宋体" w:hAnsi="宋体"/>
                <w:bCs/>
                <w:color w:val="000000"/>
                <w:sz w:val="24"/>
              </w:rPr>
            </w:pPr>
            <w:r>
              <w:rPr>
                <w:rFonts w:hint="eastAsia" w:ascii="宋体" w:hAnsi="宋体" w:cs="宋体"/>
                <w:sz w:val="24"/>
              </w:rPr>
              <w:t>应具备有效的二级及以上公路工程或市政工程专业的建造师注册证书，持有行政主管部门核发的有效安全生产考核合格证书B证</w:t>
            </w:r>
          </w:p>
        </w:tc>
      </w:tr>
      <w:tr w14:paraId="69A2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rPr>
        <w:tc>
          <w:tcPr>
            <w:tcW w:w="1863" w:type="dxa"/>
            <w:noWrap/>
          </w:tcPr>
          <w:p w14:paraId="0D857B76">
            <w:pPr>
              <w:jc w:val="center"/>
              <w:rPr>
                <w:rFonts w:ascii="宋体" w:hAnsi="宋体"/>
                <w:bCs/>
                <w:color w:val="000000"/>
                <w:sz w:val="24"/>
              </w:rPr>
            </w:pPr>
            <w:r>
              <w:rPr>
                <w:rFonts w:hint="eastAsia" w:ascii="宋体" w:hAnsi="宋体"/>
                <w:bCs/>
                <w:color w:val="000000"/>
                <w:sz w:val="24"/>
              </w:rPr>
              <w:t>技术负责人</w:t>
            </w:r>
          </w:p>
        </w:tc>
        <w:tc>
          <w:tcPr>
            <w:tcW w:w="1050" w:type="dxa"/>
            <w:noWrap/>
          </w:tcPr>
          <w:p w14:paraId="59C260BD">
            <w:pPr>
              <w:jc w:val="center"/>
              <w:rPr>
                <w:rFonts w:ascii="宋体" w:hAnsi="宋体"/>
                <w:bCs/>
                <w:color w:val="000000"/>
                <w:sz w:val="24"/>
              </w:rPr>
            </w:pPr>
            <w:r>
              <w:rPr>
                <w:rFonts w:hint="eastAsia" w:ascii="宋体" w:hAnsi="宋体"/>
                <w:bCs/>
                <w:color w:val="000000"/>
                <w:sz w:val="24"/>
              </w:rPr>
              <w:t>1人</w:t>
            </w:r>
          </w:p>
        </w:tc>
        <w:tc>
          <w:tcPr>
            <w:tcW w:w="4845" w:type="dxa"/>
            <w:noWrap/>
          </w:tcPr>
          <w:p w14:paraId="02CE41CC">
            <w:pPr>
              <w:rPr>
                <w:rFonts w:ascii="宋体" w:hAnsi="宋体"/>
                <w:bCs/>
                <w:color w:val="000000"/>
                <w:sz w:val="24"/>
              </w:rPr>
            </w:pPr>
            <w:r>
              <w:rPr>
                <w:rFonts w:hint="eastAsia" w:ascii="宋体" w:hAnsi="宋体" w:cs="宋体"/>
                <w:sz w:val="24"/>
              </w:rPr>
              <w:t>应具有路桥类专业中级工程师或以上职称</w:t>
            </w:r>
          </w:p>
        </w:tc>
      </w:tr>
      <w:tr w14:paraId="44B3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863" w:type="dxa"/>
            <w:noWrap/>
          </w:tcPr>
          <w:p w14:paraId="57BAFF5D">
            <w:pPr>
              <w:jc w:val="center"/>
              <w:rPr>
                <w:rFonts w:ascii="宋体" w:hAnsi="宋体"/>
                <w:bCs/>
                <w:color w:val="000000"/>
                <w:sz w:val="24"/>
              </w:rPr>
            </w:pPr>
            <w:r>
              <w:rPr>
                <w:rFonts w:hint="eastAsia" w:ascii="宋体" w:hAnsi="宋体"/>
                <w:bCs/>
                <w:color w:val="000000"/>
                <w:sz w:val="24"/>
              </w:rPr>
              <w:t>安全员</w:t>
            </w:r>
          </w:p>
        </w:tc>
        <w:tc>
          <w:tcPr>
            <w:tcW w:w="1050" w:type="dxa"/>
            <w:noWrap/>
          </w:tcPr>
          <w:p w14:paraId="6BE3A6B3">
            <w:pPr>
              <w:jc w:val="center"/>
              <w:rPr>
                <w:rFonts w:ascii="宋体" w:hAnsi="宋体"/>
                <w:bCs/>
                <w:color w:val="000000"/>
                <w:sz w:val="24"/>
              </w:rPr>
            </w:pPr>
            <w:r>
              <w:rPr>
                <w:rFonts w:hint="eastAsia" w:ascii="宋体" w:hAnsi="宋体"/>
                <w:bCs/>
                <w:color w:val="000000"/>
                <w:sz w:val="24"/>
              </w:rPr>
              <w:t>1人</w:t>
            </w:r>
          </w:p>
        </w:tc>
        <w:tc>
          <w:tcPr>
            <w:tcW w:w="4845" w:type="dxa"/>
            <w:noWrap/>
          </w:tcPr>
          <w:p w14:paraId="2CC5073B">
            <w:pPr>
              <w:rPr>
                <w:rFonts w:ascii="宋体" w:hAnsi="宋体"/>
                <w:bCs/>
                <w:color w:val="000000"/>
                <w:sz w:val="24"/>
              </w:rPr>
            </w:pPr>
            <w:r>
              <w:rPr>
                <w:rFonts w:hint="eastAsia" w:ascii="宋体" w:hAnsi="宋体" w:cs="宋体"/>
                <w:sz w:val="24"/>
              </w:rPr>
              <w:t>持有交通或建设主管部门颁发的有效的公路工程安全生产考核合格证C类</w:t>
            </w:r>
          </w:p>
        </w:tc>
      </w:tr>
    </w:tbl>
    <w:p w14:paraId="38DABE2B">
      <w:pPr>
        <w:numPr>
          <w:ilvl w:val="255"/>
          <w:numId w:val="0"/>
        </w:numPr>
      </w:pPr>
    </w:p>
    <w:tbl>
      <w:tblPr>
        <w:tblStyle w:val="5"/>
        <w:tblW w:w="0" w:type="auto"/>
        <w:tblInd w:w="474" w:type="dxa"/>
        <w:tblLayout w:type="fixed"/>
        <w:tblCellMar>
          <w:top w:w="0" w:type="dxa"/>
          <w:left w:w="108" w:type="dxa"/>
          <w:bottom w:w="0" w:type="dxa"/>
          <w:right w:w="108" w:type="dxa"/>
        </w:tblCellMar>
      </w:tblPr>
      <w:tblGrid>
        <w:gridCol w:w="780"/>
        <w:gridCol w:w="2130"/>
        <w:gridCol w:w="1485"/>
        <w:gridCol w:w="945"/>
        <w:gridCol w:w="1680"/>
        <w:gridCol w:w="825"/>
      </w:tblGrid>
      <w:tr w14:paraId="3CFF2E80">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050C0681">
            <w:pPr>
              <w:spacing w:line="420" w:lineRule="exact"/>
              <w:rPr>
                <w:rFonts w:ascii="宋体" w:hAnsi="宋体" w:cs="宋体"/>
                <w:color w:val="000000"/>
                <w:sz w:val="24"/>
              </w:rPr>
            </w:pPr>
            <w:r>
              <w:rPr>
                <w:rFonts w:hint="eastAsia" w:ascii="宋体" w:hAnsi="宋体" w:cs="宋体"/>
                <w:color w:val="000000"/>
                <w:sz w:val="24"/>
              </w:rPr>
              <w:t>序号</w:t>
            </w:r>
          </w:p>
        </w:tc>
        <w:tc>
          <w:tcPr>
            <w:tcW w:w="2130" w:type="dxa"/>
            <w:tcBorders>
              <w:top w:val="single" w:color="auto" w:sz="4" w:space="0"/>
              <w:left w:val="single" w:color="auto" w:sz="4" w:space="0"/>
              <w:bottom w:val="single" w:color="auto" w:sz="4" w:space="0"/>
              <w:right w:val="single" w:color="auto" w:sz="4" w:space="0"/>
            </w:tcBorders>
            <w:noWrap/>
          </w:tcPr>
          <w:p w14:paraId="28483A24">
            <w:pPr>
              <w:spacing w:line="420" w:lineRule="exact"/>
              <w:rPr>
                <w:rFonts w:ascii="宋体" w:hAnsi="宋体" w:cs="宋体"/>
                <w:color w:val="000000"/>
                <w:sz w:val="24"/>
              </w:rPr>
            </w:pPr>
            <w:r>
              <w:rPr>
                <w:rFonts w:hint="eastAsia" w:ascii="宋体" w:hAnsi="宋体" w:cs="宋体"/>
                <w:color w:val="000000"/>
                <w:sz w:val="24"/>
              </w:rPr>
              <w:t>机械设备名称</w:t>
            </w:r>
          </w:p>
        </w:tc>
        <w:tc>
          <w:tcPr>
            <w:tcW w:w="1485" w:type="dxa"/>
            <w:tcBorders>
              <w:top w:val="single" w:color="auto" w:sz="4" w:space="0"/>
              <w:left w:val="single" w:color="auto" w:sz="4" w:space="0"/>
              <w:bottom w:val="single" w:color="auto" w:sz="4" w:space="0"/>
              <w:right w:val="single" w:color="auto" w:sz="4" w:space="0"/>
            </w:tcBorders>
            <w:noWrap/>
          </w:tcPr>
          <w:p w14:paraId="0B8A50DC">
            <w:pPr>
              <w:spacing w:line="420" w:lineRule="exact"/>
              <w:rPr>
                <w:rFonts w:ascii="宋体" w:hAnsi="宋体" w:cs="宋体"/>
                <w:color w:val="000000"/>
                <w:sz w:val="24"/>
              </w:rPr>
            </w:pPr>
            <w:r>
              <w:rPr>
                <w:rFonts w:hint="eastAsia" w:ascii="宋体" w:hAnsi="宋体" w:cs="宋体"/>
                <w:color w:val="000000"/>
                <w:sz w:val="24"/>
              </w:rPr>
              <w:t>型号</w:t>
            </w:r>
          </w:p>
        </w:tc>
        <w:tc>
          <w:tcPr>
            <w:tcW w:w="945" w:type="dxa"/>
            <w:tcBorders>
              <w:top w:val="single" w:color="auto" w:sz="4" w:space="0"/>
              <w:left w:val="single" w:color="auto" w:sz="4" w:space="0"/>
              <w:bottom w:val="single" w:color="auto" w:sz="4" w:space="0"/>
              <w:right w:val="single" w:color="auto" w:sz="4" w:space="0"/>
            </w:tcBorders>
            <w:noWrap/>
          </w:tcPr>
          <w:p w14:paraId="11C8DFE0">
            <w:pPr>
              <w:spacing w:line="420" w:lineRule="exact"/>
              <w:rPr>
                <w:rFonts w:ascii="宋体" w:hAnsi="宋体" w:cs="宋体"/>
                <w:color w:val="000000"/>
                <w:sz w:val="24"/>
              </w:rPr>
            </w:pPr>
            <w:r>
              <w:rPr>
                <w:rFonts w:hint="eastAsia" w:ascii="宋体" w:hAnsi="宋体" w:cs="宋体"/>
                <w:color w:val="000000"/>
                <w:sz w:val="24"/>
              </w:rPr>
              <w:t>单位</w:t>
            </w:r>
          </w:p>
        </w:tc>
        <w:tc>
          <w:tcPr>
            <w:tcW w:w="1680" w:type="dxa"/>
            <w:tcBorders>
              <w:top w:val="single" w:color="auto" w:sz="4" w:space="0"/>
              <w:left w:val="single" w:color="auto" w:sz="4" w:space="0"/>
              <w:bottom w:val="single" w:color="auto" w:sz="4" w:space="0"/>
              <w:right w:val="single" w:color="auto" w:sz="4" w:space="0"/>
            </w:tcBorders>
            <w:noWrap/>
          </w:tcPr>
          <w:p w14:paraId="612E61A0">
            <w:pPr>
              <w:spacing w:line="420" w:lineRule="exact"/>
              <w:rPr>
                <w:rFonts w:ascii="宋体" w:hAnsi="宋体" w:cs="宋体"/>
                <w:color w:val="000000"/>
                <w:sz w:val="24"/>
              </w:rPr>
            </w:pPr>
            <w:r>
              <w:rPr>
                <w:rFonts w:hint="eastAsia" w:ascii="宋体" w:hAnsi="宋体" w:cs="宋体"/>
                <w:color w:val="000000"/>
                <w:sz w:val="24"/>
              </w:rPr>
              <w:t>每个标段至少</w:t>
            </w:r>
          </w:p>
        </w:tc>
        <w:tc>
          <w:tcPr>
            <w:tcW w:w="825" w:type="dxa"/>
            <w:tcBorders>
              <w:top w:val="single" w:color="auto" w:sz="4" w:space="0"/>
              <w:left w:val="single" w:color="auto" w:sz="4" w:space="0"/>
              <w:bottom w:val="single" w:color="auto" w:sz="4" w:space="0"/>
              <w:right w:val="single" w:color="auto" w:sz="4" w:space="0"/>
            </w:tcBorders>
            <w:noWrap/>
          </w:tcPr>
          <w:p w14:paraId="5A9C44FA">
            <w:pPr>
              <w:spacing w:line="420" w:lineRule="exact"/>
              <w:rPr>
                <w:rFonts w:ascii="宋体" w:hAnsi="宋体" w:cs="宋体"/>
                <w:color w:val="000000"/>
                <w:sz w:val="24"/>
              </w:rPr>
            </w:pPr>
            <w:r>
              <w:rPr>
                <w:rFonts w:hint="eastAsia" w:ascii="宋体" w:hAnsi="宋体" w:cs="宋体"/>
                <w:color w:val="000000"/>
                <w:sz w:val="24"/>
              </w:rPr>
              <w:t>备注</w:t>
            </w:r>
          </w:p>
        </w:tc>
      </w:tr>
      <w:tr w14:paraId="182A71D4">
        <w:tblPrEx>
          <w:tblCellMar>
            <w:top w:w="0" w:type="dxa"/>
            <w:left w:w="108" w:type="dxa"/>
            <w:bottom w:w="0" w:type="dxa"/>
            <w:right w:w="108" w:type="dxa"/>
          </w:tblCellMar>
        </w:tblPrEx>
        <w:trPr>
          <w:trHeight w:val="552" w:hRule="atLeast"/>
        </w:trPr>
        <w:tc>
          <w:tcPr>
            <w:tcW w:w="780" w:type="dxa"/>
            <w:tcBorders>
              <w:top w:val="single" w:color="auto" w:sz="4" w:space="0"/>
              <w:left w:val="single" w:color="auto" w:sz="4" w:space="0"/>
              <w:bottom w:val="single" w:color="auto" w:sz="4" w:space="0"/>
              <w:right w:val="single" w:color="auto" w:sz="4" w:space="0"/>
            </w:tcBorders>
            <w:noWrap/>
          </w:tcPr>
          <w:p w14:paraId="0C562980">
            <w:pPr>
              <w:spacing w:line="420" w:lineRule="exact"/>
              <w:rPr>
                <w:rFonts w:ascii="宋体" w:hAnsi="宋体" w:cs="宋体"/>
                <w:color w:val="000000"/>
                <w:sz w:val="24"/>
              </w:rPr>
            </w:pPr>
            <w:r>
              <w:rPr>
                <w:rFonts w:hint="eastAsia" w:ascii="宋体" w:hAnsi="宋体" w:cs="宋体"/>
                <w:color w:val="000000"/>
                <w:sz w:val="24"/>
              </w:rPr>
              <w:t>1</w:t>
            </w:r>
          </w:p>
        </w:tc>
        <w:tc>
          <w:tcPr>
            <w:tcW w:w="2130" w:type="dxa"/>
            <w:tcBorders>
              <w:top w:val="single" w:color="auto" w:sz="4" w:space="0"/>
              <w:left w:val="single" w:color="auto" w:sz="4" w:space="0"/>
              <w:bottom w:val="single" w:color="auto" w:sz="4" w:space="0"/>
              <w:right w:val="single" w:color="auto" w:sz="4" w:space="0"/>
            </w:tcBorders>
            <w:noWrap/>
          </w:tcPr>
          <w:p w14:paraId="29E83EB1">
            <w:pPr>
              <w:spacing w:line="420" w:lineRule="exact"/>
              <w:rPr>
                <w:rFonts w:ascii="宋体" w:hAnsi="宋体" w:cs="宋体"/>
                <w:color w:val="000000"/>
                <w:sz w:val="24"/>
              </w:rPr>
            </w:pPr>
            <w:r>
              <w:rPr>
                <w:rFonts w:hint="eastAsia" w:ascii="宋体" w:hAnsi="宋体" w:cs="宋体"/>
                <w:color w:val="000000"/>
                <w:sz w:val="24"/>
              </w:rPr>
              <w:t>皮卡车</w:t>
            </w:r>
          </w:p>
        </w:tc>
        <w:tc>
          <w:tcPr>
            <w:tcW w:w="1485" w:type="dxa"/>
            <w:tcBorders>
              <w:top w:val="single" w:color="auto" w:sz="4" w:space="0"/>
              <w:left w:val="single" w:color="auto" w:sz="4" w:space="0"/>
              <w:bottom w:val="single" w:color="auto" w:sz="4" w:space="0"/>
              <w:right w:val="single" w:color="auto" w:sz="4" w:space="0"/>
            </w:tcBorders>
            <w:noWrap/>
          </w:tcPr>
          <w:p w14:paraId="127C7F19">
            <w:pPr>
              <w:spacing w:line="420" w:lineRule="exact"/>
              <w:rPr>
                <w:rFonts w:ascii="宋体" w:hAnsi="宋体" w:cs="宋体"/>
                <w:color w:val="000000"/>
                <w:sz w:val="24"/>
              </w:rPr>
            </w:pPr>
            <w:r>
              <w:rPr>
                <w:rFonts w:hint="eastAsia" w:ascii="宋体" w:hAnsi="宋体" w:cs="宋体"/>
                <w:color w:val="000000"/>
                <w:sz w:val="24"/>
              </w:rPr>
              <w:t>0.5-1t</w:t>
            </w:r>
          </w:p>
        </w:tc>
        <w:tc>
          <w:tcPr>
            <w:tcW w:w="945" w:type="dxa"/>
            <w:tcBorders>
              <w:top w:val="single" w:color="auto" w:sz="4" w:space="0"/>
              <w:left w:val="single" w:color="auto" w:sz="4" w:space="0"/>
              <w:bottom w:val="single" w:color="auto" w:sz="4" w:space="0"/>
              <w:right w:val="single" w:color="auto" w:sz="4" w:space="0"/>
            </w:tcBorders>
            <w:noWrap/>
          </w:tcPr>
          <w:p w14:paraId="0729A871">
            <w:pPr>
              <w:spacing w:line="420" w:lineRule="exact"/>
              <w:rPr>
                <w:rFonts w:ascii="宋体" w:hAnsi="宋体" w:cs="宋体"/>
                <w:color w:val="000000"/>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tcPr>
          <w:p w14:paraId="620597AE">
            <w:pPr>
              <w:spacing w:line="420" w:lineRule="exact"/>
              <w:rPr>
                <w:rFonts w:ascii="宋体" w:hAnsi="宋体" w:cs="宋体"/>
                <w:color w:val="000000"/>
                <w:sz w:val="24"/>
              </w:rPr>
            </w:pPr>
            <w:r>
              <w:rPr>
                <w:rFonts w:hint="eastAsia" w:ascii="宋体" w:hAnsi="宋体" w:cs="宋体"/>
                <w:color w:val="000000"/>
                <w:sz w:val="24"/>
              </w:rPr>
              <w:t>1</w:t>
            </w:r>
          </w:p>
        </w:tc>
        <w:tc>
          <w:tcPr>
            <w:tcW w:w="825" w:type="dxa"/>
            <w:tcBorders>
              <w:top w:val="single" w:color="auto" w:sz="4" w:space="0"/>
              <w:left w:val="single" w:color="auto" w:sz="4" w:space="0"/>
              <w:bottom w:val="single" w:color="auto" w:sz="4" w:space="0"/>
              <w:right w:val="single" w:color="auto" w:sz="4" w:space="0"/>
            </w:tcBorders>
            <w:noWrap/>
          </w:tcPr>
          <w:p w14:paraId="338B68CF">
            <w:pPr>
              <w:spacing w:line="420" w:lineRule="exact"/>
              <w:rPr>
                <w:rFonts w:ascii="宋体" w:hAnsi="宋体" w:cs="宋体"/>
                <w:color w:val="000000"/>
                <w:sz w:val="24"/>
              </w:rPr>
            </w:pPr>
          </w:p>
        </w:tc>
      </w:tr>
      <w:tr w14:paraId="0FC6CA93">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685CC3F3">
            <w:pPr>
              <w:spacing w:line="420" w:lineRule="exact"/>
              <w:rPr>
                <w:rFonts w:ascii="宋体" w:hAnsi="宋体" w:cs="宋体"/>
                <w:color w:val="000000"/>
                <w:sz w:val="24"/>
              </w:rPr>
            </w:pPr>
            <w:r>
              <w:rPr>
                <w:rFonts w:hint="eastAsia" w:ascii="宋体" w:hAnsi="宋体" w:cs="宋体"/>
                <w:color w:val="000000"/>
                <w:sz w:val="24"/>
              </w:rPr>
              <w:t>2</w:t>
            </w:r>
          </w:p>
        </w:tc>
        <w:tc>
          <w:tcPr>
            <w:tcW w:w="2130" w:type="dxa"/>
            <w:tcBorders>
              <w:top w:val="single" w:color="auto" w:sz="4" w:space="0"/>
              <w:left w:val="single" w:color="auto" w:sz="4" w:space="0"/>
              <w:bottom w:val="single" w:color="auto" w:sz="4" w:space="0"/>
              <w:right w:val="single" w:color="auto" w:sz="4" w:space="0"/>
            </w:tcBorders>
            <w:noWrap/>
          </w:tcPr>
          <w:p w14:paraId="4D988886">
            <w:pPr>
              <w:spacing w:line="420" w:lineRule="exact"/>
              <w:rPr>
                <w:rFonts w:ascii="宋体" w:hAnsi="宋体" w:cs="宋体"/>
                <w:color w:val="000000"/>
                <w:sz w:val="24"/>
              </w:rPr>
            </w:pPr>
            <w:r>
              <w:rPr>
                <w:rFonts w:hint="eastAsia" w:ascii="宋体" w:hAnsi="宋体" w:cs="宋体"/>
                <w:color w:val="000000"/>
                <w:sz w:val="24"/>
              </w:rPr>
              <w:t>自卸汽车</w:t>
            </w:r>
          </w:p>
        </w:tc>
        <w:tc>
          <w:tcPr>
            <w:tcW w:w="1485" w:type="dxa"/>
            <w:tcBorders>
              <w:top w:val="single" w:color="auto" w:sz="4" w:space="0"/>
              <w:left w:val="single" w:color="auto" w:sz="4" w:space="0"/>
              <w:bottom w:val="single" w:color="auto" w:sz="4" w:space="0"/>
              <w:right w:val="single" w:color="auto" w:sz="4" w:space="0"/>
            </w:tcBorders>
            <w:noWrap/>
          </w:tcPr>
          <w:p w14:paraId="23FB5DBA">
            <w:pPr>
              <w:spacing w:line="420" w:lineRule="exact"/>
              <w:rPr>
                <w:rFonts w:ascii="宋体" w:hAnsi="宋体" w:cs="宋体"/>
                <w:color w:val="000000"/>
                <w:sz w:val="24"/>
              </w:rPr>
            </w:pPr>
            <w:r>
              <w:rPr>
                <w:rFonts w:hint="eastAsia" w:ascii="宋体" w:hAnsi="宋体" w:cs="宋体"/>
                <w:color w:val="000000"/>
                <w:sz w:val="24"/>
              </w:rPr>
              <w:t>8吨以上</w:t>
            </w:r>
          </w:p>
        </w:tc>
        <w:tc>
          <w:tcPr>
            <w:tcW w:w="945" w:type="dxa"/>
            <w:tcBorders>
              <w:top w:val="single" w:color="auto" w:sz="4" w:space="0"/>
              <w:left w:val="single" w:color="auto" w:sz="4" w:space="0"/>
              <w:bottom w:val="single" w:color="auto" w:sz="4" w:space="0"/>
              <w:right w:val="single" w:color="auto" w:sz="4" w:space="0"/>
            </w:tcBorders>
            <w:noWrap/>
          </w:tcPr>
          <w:p w14:paraId="3AA59DDB">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tcPr>
          <w:p w14:paraId="4651E388">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14:paraId="537C570E">
            <w:pPr>
              <w:spacing w:line="420" w:lineRule="exact"/>
              <w:rPr>
                <w:rFonts w:ascii="宋体" w:hAnsi="宋体" w:cs="宋体"/>
                <w:color w:val="000000"/>
                <w:sz w:val="24"/>
              </w:rPr>
            </w:pPr>
          </w:p>
        </w:tc>
      </w:tr>
      <w:tr w14:paraId="2AD74375">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59D14624">
            <w:pPr>
              <w:spacing w:line="420" w:lineRule="exact"/>
              <w:rPr>
                <w:rFonts w:ascii="宋体" w:hAnsi="宋体" w:cs="宋体"/>
                <w:color w:val="000000"/>
                <w:sz w:val="24"/>
              </w:rPr>
            </w:pPr>
            <w:r>
              <w:rPr>
                <w:rFonts w:hint="eastAsia" w:ascii="宋体" w:hAnsi="宋体" w:cs="宋体"/>
                <w:color w:val="000000"/>
                <w:sz w:val="24"/>
              </w:rPr>
              <w:t>3</w:t>
            </w:r>
          </w:p>
        </w:tc>
        <w:tc>
          <w:tcPr>
            <w:tcW w:w="2130" w:type="dxa"/>
            <w:tcBorders>
              <w:top w:val="single" w:color="auto" w:sz="4" w:space="0"/>
              <w:left w:val="single" w:color="auto" w:sz="4" w:space="0"/>
              <w:bottom w:val="single" w:color="auto" w:sz="4" w:space="0"/>
              <w:right w:val="single" w:color="auto" w:sz="4" w:space="0"/>
            </w:tcBorders>
            <w:noWrap/>
          </w:tcPr>
          <w:p w14:paraId="71416AF7">
            <w:pPr>
              <w:spacing w:line="420" w:lineRule="exact"/>
              <w:rPr>
                <w:rFonts w:ascii="宋体" w:hAnsi="宋体" w:cs="宋体"/>
                <w:color w:val="000000"/>
                <w:sz w:val="24"/>
              </w:rPr>
            </w:pPr>
            <w:r>
              <w:rPr>
                <w:rFonts w:hint="eastAsia" w:ascii="宋体" w:hAnsi="宋体" w:cs="宋体"/>
                <w:color w:val="000000"/>
                <w:sz w:val="24"/>
              </w:rPr>
              <w:t>小货车</w:t>
            </w:r>
          </w:p>
        </w:tc>
        <w:tc>
          <w:tcPr>
            <w:tcW w:w="1485" w:type="dxa"/>
            <w:tcBorders>
              <w:top w:val="single" w:color="auto" w:sz="4" w:space="0"/>
              <w:left w:val="single" w:color="auto" w:sz="4" w:space="0"/>
              <w:bottom w:val="single" w:color="auto" w:sz="4" w:space="0"/>
              <w:right w:val="single" w:color="auto" w:sz="4" w:space="0"/>
            </w:tcBorders>
            <w:noWrap/>
          </w:tcPr>
          <w:p w14:paraId="573E953E">
            <w:pPr>
              <w:spacing w:line="420" w:lineRule="exact"/>
              <w:rPr>
                <w:rFonts w:ascii="宋体" w:hAnsi="宋体" w:cs="宋体"/>
                <w:color w:val="000000"/>
                <w:sz w:val="24"/>
              </w:rPr>
            </w:pPr>
            <w:r>
              <w:rPr>
                <w:rFonts w:hint="eastAsia" w:ascii="宋体" w:hAnsi="宋体" w:cs="宋体"/>
                <w:color w:val="000000"/>
                <w:sz w:val="24"/>
              </w:rPr>
              <w:t>1.25-1.75t</w:t>
            </w:r>
          </w:p>
        </w:tc>
        <w:tc>
          <w:tcPr>
            <w:tcW w:w="945" w:type="dxa"/>
            <w:tcBorders>
              <w:top w:val="single" w:color="auto" w:sz="4" w:space="0"/>
              <w:left w:val="single" w:color="auto" w:sz="4" w:space="0"/>
              <w:bottom w:val="single" w:color="auto" w:sz="4" w:space="0"/>
              <w:right w:val="single" w:color="auto" w:sz="4" w:space="0"/>
            </w:tcBorders>
            <w:noWrap/>
          </w:tcPr>
          <w:p w14:paraId="763C5022">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tcPr>
          <w:p w14:paraId="1D22FDBA">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14:paraId="10B2132F">
            <w:pPr>
              <w:spacing w:line="420" w:lineRule="exact"/>
              <w:rPr>
                <w:rFonts w:ascii="宋体" w:hAnsi="宋体" w:cs="宋体"/>
                <w:color w:val="000000"/>
                <w:sz w:val="24"/>
              </w:rPr>
            </w:pPr>
          </w:p>
        </w:tc>
      </w:tr>
      <w:tr w14:paraId="06A637D9">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76467E4D">
            <w:pPr>
              <w:spacing w:line="420" w:lineRule="exact"/>
              <w:rPr>
                <w:rFonts w:ascii="宋体" w:hAnsi="宋体" w:cs="宋体"/>
                <w:color w:val="000000"/>
                <w:sz w:val="24"/>
              </w:rPr>
            </w:pPr>
            <w:r>
              <w:rPr>
                <w:rFonts w:hint="eastAsia" w:ascii="宋体" w:hAnsi="宋体" w:cs="宋体"/>
                <w:color w:val="000000"/>
                <w:sz w:val="24"/>
              </w:rPr>
              <w:t>4</w:t>
            </w:r>
          </w:p>
        </w:tc>
        <w:tc>
          <w:tcPr>
            <w:tcW w:w="2130" w:type="dxa"/>
            <w:tcBorders>
              <w:top w:val="single" w:color="auto" w:sz="4" w:space="0"/>
              <w:left w:val="single" w:color="auto" w:sz="4" w:space="0"/>
              <w:bottom w:val="single" w:color="auto" w:sz="4" w:space="0"/>
              <w:right w:val="single" w:color="auto" w:sz="4" w:space="0"/>
            </w:tcBorders>
            <w:noWrap/>
          </w:tcPr>
          <w:p w14:paraId="7D7C820E">
            <w:pPr>
              <w:spacing w:line="420" w:lineRule="exact"/>
              <w:rPr>
                <w:rFonts w:ascii="宋体" w:hAnsi="宋体" w:cs="宋体"/>
                <w:color w:val="000000"/>
                <w:sz w:val="24"/>
              </w:rPr>
            </w:pPr>
            <w:r>
              <w:rPr>
                <w:rFonts w:hint="eastAsia" w:ascii="宋体" w:hAnsi="宋体" w:cs="宋体"/>
                <w:color w:val="000000"/>
                <w:sz w:val="24"/>
              </w:rPr>
              <w:t>洒水车</w:t>
            </w:r>
          </w:p>
        </w:tc>
        <w:tc>
          <w:tcPr>
            <w:tcW w:w="1485" w:type="dxa"/>
            <w:tcBorders>
              <w:top w:val="single" w:color="auto" w:sz="4" w:space="0"/>
              <w:left w:val="single" w:color="auto" w:sz="4" w:space="0"/>
              <w:bottom w:val="single" w:color="auto" w:sz="4" w:space="0"/>
              <w:right w:val="single" w:color="auto" w:sz="4" w:space="0"/>
            </w:tcBorders>
            <w:noWrap/>
          </w:tcPr>
          <w:p w14:paraId="2EDF308C">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14:paraId="79D909F6">
            <w:pPr>
              <w:rPr>
                <w:rFonts w:ascii="宋体" w:hAnsi="宋体" w:cs="宋体"/>
                <w:sz w:val="24"/>
              </w:rPr>
            </w:pPr>
            <w:r>
              <w:rPr>
                <w:rFonts w:hint="eastAsia" w:ascii="宋体" w:hAnsi="宋体" w:cs="宋体"/>
                <w:sz w:val="24"/>
              </w:rPr>
              <w:t>辆</w:t>
            </w:r>
          </w:p>
        </w:tc>
        <w:tc>
          <w:tcPr>
            <w:tcW w:w="1680" w:type="dxa"/>
            <w:tcBorders>
              <w:top w:val="single" w:color="auto" w:sz="4" w:space="0"/>
              <w:left w:val="single" w:color="auto" w:sz="4" w:space="0"/>
              <w:bottom w:val="single" w:color="auto" w:sz="4" w:space="0"/>
              <w:right w:val="single" w:color="auto" w:sz="4" w:space="0"/>
            </w:tcBorders>
            <w:noWrap/>
          </w:tcPr>
          <w:p w14:paraId="196735AF">
            <w:pPr>
              <w:spacing w:line="420" w:lineRule="exact"/>
              <w:rPr>
                <w:rFonts w:ascii="宋体" w:hAnsi="宋体" w:cs="宋体"/>
                <w:color w:val="000000"/>
                <w:sz w:val="24"/>
              </w:rPr>
            </w:pPr>
            <w:r>
              <w:rPr>
                <w:rFonts w:hint="eastAsia" w:ascii="宋体" w:hAnsi="宋体" w:cs="宋体"/>
                <w:color w:val="000000"/>
                <w:sz w:val="24"/>
              </w:rPr>
              <w:t>1</w:t>
            </w:r>
          </w:p>
        </w:tc>
        <w:tc>
          <w:tcPr>
            <w:tcW w:w="825" w:type="dxa"/>
            <w:tcBorders>
              <w:top w:val="single" w:color="auto" w:sz="4" w:space="0"/>
              <w:left w:val="single" w:color="auto" w:sz="4" w:space="0"/>
              <w:bottom w:val="single" w:color="auto" w:sz="4" w:space="0"/>
              <w:right w:val="single" w:color="auto" w:sz="4" w:space="0"/>
            </w:tcBorders>
            <w:noWrap/>
          </w:tcPr>
          <w:p w14:paraId="261F1E7D">
            <w:pPr>
              <w:spacing w:line="420" w:lineRule="exact"/>
              <w:rPr>
                <w:rFonts w:ascii="宋体" w:hAnsi="宋体" w:cs="宋体"/>
                <w:color w:val="000000"/>
                <w:sz w:val="24"/>
              </w:rPr>
            </w:pPr>
          </w:p>
        </w:tc>
      </w:tr>
      <w:tr w14:paraId="45E022C6">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6DCEC2FA">
            <w:pPr>
              <w:spacing w:line="420" w:lineRule="exact"/>
              <w:rPr>
                <w:rFonts w:ascii="宋体" w:hAnsi="宋体" w:cs="宋体"/>
                <w:color w:val="000000"/>
                <w:sz w:val="24"/>
              </w:rPr>
            </w:pPr>
            <w:r>
              <w:rPr>
                <w:rFonts w:hint="eastAsia" w:ascii="宋体" w:hAnsi="宋体" w:cs="宋体"/>
                <w:color w:val="000000"/>
                <w:sz w:val="24"/>
              </w:rPr>
              <w:t>5</w:t>
            </w:r>
          </w:p>
        </w:tc>
        <w:tc>
          <w:tcPr>
            <w:tcW w:w="2130" w:type="dxa"/>
            <w:tcBorders>
              <w:top w:val="single" w:color="auto" w:sz="4" w:space="0"/>
              <w:left w:val="single" w:color="auto" w:sz="4" w:space="0"/>
              <w:bottom w:val="single" w:color="auto" w:sz="4" w:space="0"/>
              <w:right w:val="single" w:color="auto" w:sz="4" w:space="0"/>
            </w:tcBorders>
            <w:noWrap/>
          </w:tcPr>
          <w:p w14:paraId="249AC0C4">
            <w:pPr>
              <w:spacing w:line="420" w:lineRule="exact"/>
              <w:rPr>
                <w:rFonts w:ascii="宋体" w:hAnsi="宋体" w:cs="宋体"/>
                <w:color w:val="000000"/>
                <w:sz w:val="24"/>
              </w:rPr>
            </w:pPr>
            <w:r>
              <w:rPr>
                <w:rFonts w:hint="eastAsia" w:ascii="宋体" w:hAnsi="宋体" w:cs="宋体"/>
                <w:color w:val="000000"/>
                <w:sz w:val="24"/>
              </w:rPr>
              <w:t>布控牌（10面/套）</w:t>
            </w:r>
          </w:p>
        </w:tc>
        <w:tc>
          <w:tcPr>
            <w:tcW w:w="1485" w:type="dxa"/>
            <w:tcBorders>
              <w:top w:val="single" w:color="auto" w:sz="4" w:space="0"/>
              <w:left w:val="single" w:color="auto" w:sz="4" w:space="0"/>
              <w:bottom w:val="single" w:color="auto" w:sz="4" w:space="0"/>
              <w:right w:val="single" w:color="auto" w:sz="4" w:space="0"/>
            </w:tcBorders>
            <w:noWrap/>
          </w:tcPr>
          <w:p w14:paraId="49C9A803">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14:paraId="0C6272ED">
            <w:pPr>
              <w:spacing w:line="420" w:lineRule="exact"/>
              <w:rPr>
                <w:rFonts w:ascii="宋体" w:hAnsi="宋体" w:cs="宋体"/>
                <w:color w:val="000000"/>
                <w:sz w:val="24"/>
              </w:rPr>
            </w:pPr>
            <w:r>
              <w:rPr>
                <w:rFonts w:hint="eastAsia" w:ascii="宋体" w:hAnsi="宋体" w:cs="宋体"/>
                <w:color w:val="000000"/>
                <w:sz w:val="24"/>
              </w:rPr>
              <w:t>套</w:t>
            </w:r>
          </w:p>
        </w:tc>
        <w:tc>
          <w:tcPr>
            <w:tcW w:w="1680" w:type="dxa"/>
            <w:tcBorders>
              <w:top w:val="single" w:color="auto" w:sz="4" w:space="0"/>
              <w:left w:val="single" w:color="auto" w:sz="4" w:space="0"/>
              <w:bottom w:val="single" w:color="auto" w:sz="4" w:space="0"/>
              <w:right w:val="single" w:color="auto" w:sz="4" w:space="0"/>
            </w:tcBorders>
            <w:noWrap/>
          </w:tcPr>
          <w:p w14:paraId="72F99815">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14:paraId="101CABC1">
            <w:pPr>
              <w:spacing w:line="420" w:lineRule="exact"/>
              <w:rPr>
                <w:rFonts w:ascii="宋体" w:hAnsi="宋体" w:cs="宋体"/>
                <w:color w:val="000000"/>
                <w:sz w:val="24"/>
              </w:rPr>
            </w:pPr>
          </w:p>
        </w:tc>
      </w:tr>
      <w:tr w14:paraId="64D7D973">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tcPr>
          <w:p w14:paraId="4AB62E4D">
            <w:pPr>
              <w:spacing w:line="420" w:lineRule="exact"/>
              <w:rPr>
                <w:rFonts w:ascii="宋体" w:hAnsi="宋体" w:cs="宋体"/>
                <w:color w:val="000000"/>
                <w:sz w:val="24"/>
              </w:rPr>
            </w:pPr>
            <w:r>
              <w:rPr>
                <w:rFonts w:hint="eastAsia" w:ascii="宋体" w:hAnsi="宋体" w:cs="宋体"/>
                <w:color w:val="000000"/>
                <w:sz w:val="24"/>
              </w:rPr>
              <w:t>6</w:t>
            </w:r>
          </w:p>
        </w:tc>
        <w:tc>
          <w:tcPr>
            <w:tcW w:w="2130" w:type="dxa"/>
            <w:tcBorders>
              <w:top w:val="single" w:color="auto" w:sz="4" w:space="0"/>
              <w:left w:val="single" w:color="auto" w:sz="4" w:space="0"/>
              <w:bottom w:val="single" w:color="auto" w:sz="4" w:space="0"/>
              <w:right w:val="single" w:color="auto" w:sz="4" w:space="0"/>
            </w:tcBorders>
            <w:noWrap/>
          </w:tcPr>
          <w:p w14:paraId="0AB584CD">
            <w:pPr>
              <w:spacing w:line="420" w:lineRule="exact"/>
              <w:rPr>
                <w:rFonts w:ascii="宋体" w:hAnsi="宋体" w:cs="宋体"/>
                <w:color w:val="000000"/>
                <w:sz w:val="24"/>
              </w:rPr>
            </w:pPr>
            <w:r>
              <w:rPr>
                <w:rFonts w:hint="eastAsia" w:ascii="宋体" w:hAnsi="宋体" w:cs="宋体"/>
                <w:color w:val="000000"/>
                <w:sz w:val="24"/>
              </w:rPr>
              <w:t>锥标</w:t>
            </w:r>
          </w:p>
        </w:tc>
        <w:tc>
          <w:tcPr>
            <w:tcW w:w="1485" w:type="dxa"/>
            <w:tcBorders>
              <w:top w:val="single" w:color="auto" w:sz="4" w:space="0"/>
              <w:left w:val="single" w:color="auto" w:sz="4" w:space="0"/>
              <w:bottom w:val="single" w:color="auto" w:sz="4" w:space="0"/>
              <w:right w:val="single" w:color="auto" w:sz="4" w:space="0"/>
            </w:tcBorders>
            <w:noWrap/>
          </w:tcPr>
          <w:p w14:paraId="1636503B">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14:paraId="5835D4FB">
            <w:pPr>
              <w:spacing w:line="420" w:lineRule="exact"/>
              <w:rPr>
                <w:rFonts w:ascii="宋体" w:hAnsi="宋体" w:cs="宋体"/>
                <w:color w:val="000000"/>
                <w:sz w:val="24"/>
              </w:rPr>
            </w:pPr>
            <w:r>
              <w:rPr>
                <w:rFonts w:hint="eastAsia" w:ascii="宋体" w:hAnsi="宋体" w:cs="宋体"/>
                <w:color w:val="000000"/>
                <w:sz w:val="24"/>
              </w:rPr>
              <w:t>个</w:t>
            </w:r>
          </w:p>
        </w:tc>
        <w:tc>
          <w:tcPr>
            <w:tcW w:w="1680" w:type="dxa"/>
            <w:tcBorders>
              <w:top w:val="single" w:color="auto" w:sz="4" w:space="0"/>
              <w:left w:val="single" w:color="auto" w:sz="4" w:space="0"/>
              <w:bottom w:val="single" w:color="auto" w:sz="4" w:space="0"/>
              <w:right w:val="single" w:color="auto" w:sz="4" w:space="0"/>
            </w:tcBorders>
            <w:noWrap/>
          </w:tcPr>
          <w:p w14:paraId="032203A4">
            <w:pPr>
              <w:spacing w:line="420" w:lineRule="exact"/>
              <w:rPr>
                <w:rFonts w:ascii="宋体" w:hAnsi="宋体" w:cs="宋体"/>
                <w:color w:val="000000"/>
                <w:sz w:val="24"/>
              </w:rPr>
            </w:pPr>
            <w:r>
              <w:rPr>
                <w:rFonts w:hint="eastAsia" w:ascii="宋体" w:hAnsi="宋体" w:cs="宋体"/>
                <w:color w:val="000000"/>
                <w:sz w:val="24"/>
              </w:rPr>
              <w:t>400</w:t>
            </w:r>
          </w:p>
        </w:tc>
        <w:tc>
          <w:tcPr>
            <w:tcW w:w="825" w:type="dxa"/>
            <w:tcBorders>
              <w:top w:val="single" w:color="auto" w:sz="4" w:space="0"/>
              <w:left w:val="single" w:color="auto" w:sz="4" w:space="0"/>
              <w:bottom w:val="single" w:color="auto" w:sz="4" w:space="0"/>
              <w:right w:val="single" w:color="auto" w:sz="4" w:space="0"/>
            </w:tcBorders>
            <w:noWrap/>
          </w:tcPr>
          <w:p w14:paraId="376040AC">
            <w:pPr>
              <w:spacing w:line="420" w:lineRule="exact"/>
              <w:rPr>
                <w:rFonts w:ascii="宋体" w:hAnsi="宋体" w:cs="宋体"/>
                <w:color w:val="000000"/>
                <w:sz w:val="24"/>
              </w:rPr>
            </w:pPr>
          </w:p>
        </w:tc>
      </w:tr>
    </w:tbl>
    <w:p w14:paraId="001C5BF6">
      <w:pPr>
        <w:spacing w:line="360" w:lineRule="auto"/>
        <w:rPr>
          <w:rFonts w:hint="eastAsia" w:ascii="宋体" w:hAnsi="宋体" w:cs="宋体"/>
          <w:b/>
          <w:bCs/>
          <w:sz w:val="24"/>
        </w:rPr>
      </w:pPr>
    </w:p>
    <w:p w14:paraId="761AFEF8">
      <w:pPr>
        <w:spacing w:beforeLines="100" w:afterLines="100" w:line="580" w:lineRule="exact"/>
        <w:ind w:firstLine="640" w:firstLineChars="200"/>
        <w:jc w:val="center"/>
        <w:rPr>
          <w:rFonts w:hint="eastAsia" w:ascii="Times New Roman" w:hAnsi="Times New Roman" w:eastAsia="黑体"/>
          <w:kern w:val="0"/>
          <w:sz w:val="32"/>
          <w:szCs w:val="20"/>
          <w:u w:val="none"/>
          <w:lang w:eastAsia="zh-CN"/>
        </w:rPr>
      </w:pPr>
    </w:p>
    <w:p w14:paraId="7C0527AC">
      <w:pPr>
        <w:spacing w:beforeLines="100" w:afterLines="100" w:line="580" w:lineRule="exact"/>
        <w:ind w:firstLine="640" w:firstLineChars="200"/>
        <w:jc w:val="center"/>
        <w:rPr>
          <w:rFonts w:hint="eastAsia" w:ascii="Times New Roman" w:hAnsi="Times New Roman" w:eastAsia="黑体"/>
          <w:kern w:val="0"/>
          <w:sz w:val="32"/>
          <w:szCs w:val="20"/>
          <w:u w:val="none"/>
          <w:lang w:eastAsia="zh-CN"/>
        </w:rPr>
      </w:pPr>
    </w:p>
    <w:p w14:paraId="2B6BF43D">
      <w:pPr>
        <w:spacing w:beforeLines="100" w:afterLines="100" w:line="580" w:lineRule="exact"/>
        <w:ind w:firstLine="640" w:firstLineChars="200"/>
        <w:jc w:val="center"/>
        <w:rPr>
          <w:rFonts w:hint="eastAsia" w:ascii="Times New Roman" w:hAnsi="Times New Roman" w:eastAsia="黑体"/>
          <w:kern w:val="0"/>
          <w:sz w:val="32"/>
          <w:szCs w:val="20"/>
          <w:u w:val="none"/>
          <w:lang w:eastAsia="zh-CN"/>
        </w:rPr>
      </w:pPr>
    </w:p>
    <w:p w14:paraId="478271C8">
      <w:pPr>
        <w:spacing w:beforeLines="100" w:afterLines="100" w:line="580" w:lineRule="exact"/>
        <w:ind w:firstLine="640" w:firstLineChars="200"/>
        <w:jc w:val="center"/>
        <w:rPr>
          <w:rFonts w:eastAsia="黑体"/>
          <w:bCs/>
          <w:kern w:val="0"/>
          <w:sz w:val="32"/>
          <w:szCs w:val="20"/>
        </w:rPr>
      </w:pPr>
      <w:r>
        <w:rPr>
          <w:rFonts w:hint="eastAsia" w:ascii="Times New Roman" w:hAnsi="Times New Roman" w:eastAsia="黑体"/>
          <w:kern w:val="0"/>
          <w:sz w:val="32"/>
          <w:szCs w:val="20"/>
          <w:u w:val="none"/>
          <w:lang w:eastAsia="zh-CN"/>
        </w:rPr>
        <w:t>南平高速运营管理中心绿化</w:t>
      </w:r>
      <w:r>
        <w:rPr>
          <w:rFonts w:hint="eastAsia" w:eastAsia="黑体"/>
          <w:kern w:val="0"/>
          <w:sz w:val="32"/>
          <w:szCs w:val="20"/>
        </w:rPr>
        <w:t>日常养护人员最低要求</w:t>
      </w:r>
    </w:p>
    <w:tbl>
      <w:tblPr>
        <w:tblStyle w:val="5"/>
        <w:tblW w:w="775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050"/>
        <w:gridCol w:w="4845"/>
      </w:tblGrid>
      <w:tr w14:paraId="759D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863" w:type="dxa"/>
            <w:noWrap/>
            <w:vAlign w:val="center"/>
          </w:tcPr>
          <w:p w14:paraId="41235781">
            <w:pPr>
              <w:jc w:val="center"/>
              <w:rPr>
                <w:rFonts w:ascii="宋体" w:hAnsi="宋体"/>
                <w:bCs/>
                <w:color w:val="000000"/>
                <w:sz w:val="24"/>
              </w:rPr>
            </w:pPr>
            <w:r>
              <w:rPr>
                <w:rFonts w:hint="eastAsia" w:ascii="宋体" w:hAnsi="宋体"/>
                <w:bCs/>
                <w:color w:val="000000"/>
                <w:sz w:val="24"/>
              </w:rPr>
              <w:t>岗位名称</w:t>
            </w:r>
          </w:p>
        </w:tc>
        <w:tc>
          <w:tcPr>
            <w:tcW w:w="1050" w:type="dxa"/>
            <w:noWrap/>
            <w:vAlign w:val="center"/>
          </w:tcPr>
          <w:p w14:paraId="118959F9">
            <w:pPr>
              <w:jc w:val="center"/>
              <w:rPr>
                <w:rFonts w:ascii="宋体" w:hAnsi="宋体"/>
                <w:bCs/>
                <w:color w:val="000000"/>
                <w:sz w:val="24"/>
              </w:rPr>
            </w:pPr>
            <w:r>
              <w:rPr>
                <w:rFonts w:hint="eastAsia" w:ascii="宋体" w:hAnsi="宋体" w:cs="宋体"/>
                <w:color w:val="000000"/>
                <w:sz w:val="24"/>
              </w:rPr>
              <w:t>数  量</w:t>
            </w:r>
          </w:p>
        </w:tc>
        <w:tc>
          <w:tcPr>
            <w:tcW w:w="4845" w:type="dxa"/>
            <w:noWrap/>
            <w:vAlign w:val="center"/>
          </w:tcPr>
          <w:p w14:paraId="558B8FC8">
            <w:pPr>
              <w:jc w:val="center"/>
              <w:rPr>
                <w:rFonts w:ascii="宋体" w:hAnsi="宋体"/>
                <w:bCs/>
                <w:color w:val="000000"/>
                <w:sz w:val="24"/>
              </w:rPr>
            </w:pPr>
            <w:r>
              <w:rPr>
                <w:rFonts w:hint="eastAsia" w:ascii="宋体" w:hAnsi="宋体" w:cs="宋体"/>
                <w:color w:val="000000"/>
                <w:sz w:val="24"/>
              </w:rPr>
              <w:t>基 本 要 求</w:t>
            </w:r>
          </w:p>
        </w:tc>
      </w:tr>
      <w:tr w14:paraId="4F63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exact"/>
        </w:trPr>
        <w:tc>
          <w:tcPr>
            <w:tcW w:w="1863" w:type="dxa"/>
            <w:noWrap/>
            <w:vAlign w:val="top"/>
          </w:tcPr>
          <w:p w14:paraId="13625CD7">
            <w:pPr>
              <w:jc w:val="center"/>
              <w:rPr>
                <w:rFonts w:ascii="宋体" w:hAnsi="宋体"/>
                <w:bCs/>
                <w:color w:val="000000"/>
                <w:sz w:val="24"/>
              </w:rPr>
            </w:pPr>
            <w:r>
              <w:rPr>
                <w:rFonts w:hint="eastAsia" w:ascii="宋体" w:hAnsi="宋体"/>
                <w:bCs/>
                <w:color w:val="000000"/>
                <w:sz w:val="24"/>
              </w:rPr>
              <w:t>现场负责人</w:t>
            </w:r>
          </w:p>
        </w:tc>
        <w:tc>
          <w:tcPr>
            <w:tcW w:w="1050" w:type="dxa"/>
            <w:noWrap/>
            <w:vAlign w:val="top"/>
          </w:tcPr>
          <w:p w14:paraId="2177567A">
            <w:pPr>
              <w:jc w:val="center"/>
              <w:rPr>
                <w:rFonts w:ascii="宋体" w:hAnsi="宋体"/>
                <w:bCs/>
                <w:color w:val="000000"/>
                <w:sz w:val="24"/>
              </w:rPr>
            </w:pPr>
            <w:r>
              <w:rPr>
                <w:rFonts w:hint="eastAsia" w:ascii="宋体" w:hAnsi="宋体"/>
                <w:bCs/>
                <w:color w:val="000000"/>
                <w:sz w:val="24"/>
              </w:rPr>
              <w:t>1人</w:t>
            </w:r>
          </w:p>
        </w:tc>
        <w:tc>
          <w:tcPr>
            <w:tcW w:w="4845" w:type="dxa"/>
            <w:noWrap/>
            <w:vAlign w:val="top"/>
          </w:tcPr>
          <w:p w14:paraId="606C3F14">
            <w:pPr>
              <w:rPr>
                <w:rFonts w:ascii="宋体" w:hAnsi="宋体"/>
                <w:bCs/>
                <w:color w:val="000000"/>
                <w:sz w:val="24"/>
              </w:rPr>
            </w:pPr>
            <w:r>
              <w:rPr>
                <w:rFonts w:ascii="宋体" w:hAnsi="宋体"/>
                <w:bCs/>
                <w:color w:val="000000"/>
                <w:sz w:val="24"/>
              </w:rPr>
              <w:t>应具备</w:t>
            </w:r>
            <w:r>
              <w:rPr>
                <w:rFonts w:hint="eastAsia" w:ascii="宋体" w:hAnsi="宋体"/>
                <w:bCs/>
                <w:color w:val="000000"/>
                <w:sz w:val="24"/>
              </w:rPr>
              <w:t>2年以上</w:t>
            </w:r>
            <w:r>
              <w:rPr>
                <w:rFonts w:ascii="宋体" w:hAnsi="宋体"/>
                <w:bCs/>
                <w:color w:val="000000"/>
                <w:sz w:val="24"/>
              </w:rPr>
              <w:t>绿化养护现场施工经验</w:t>
            </w:r>
            <w:r>
              <w:rPr>
                <w:rFonts w:hint="eastAsia" w:ascii="宋体" w:hAnsi="宋体"/>
                <w:bCs/>
                <w:color w:val="000000"/>
                <w:sz w:val="24"/>
              </w:rPr>
              <w:t>，充分了解绿化养护相关工作内容，</w:t>
            </w:r>
            <w:r>
              <w:rPr>
                <w:rFonts w:ascii="宋体" w:hAnsi="宋体"/>
                <w:bCs/>
                <w:color w:val="000000"/>
                <w:sz w:val="24"/>
              </w:rPr>
              <w:t>掌握苗木养护</w:t>
            </w:r>
            <w:r>
              <w:rPr>
                <w:rFonts w:hint="eastAsia" w:ascii="宋体" w:hAnsi="宋体"/>
                <w:bCs/>
                <w:color w:val="000000"/>
                <w:sz w:val="24"/>
              </w:rPr>
              <w:t>、栽</w:t>
            </w:r>
            <w:r>
              <w:rPr>
                <w:rFonts w:ascii="宋体" w:hAnsi="宋体"/>
                <w:bCs/>
                <w:color w:val="000000"/>
                <w:sz w:val="24"/>
              </w:rPr>
              <w:t>植</w:t>
            </w:r>
            <w:r>
              <w:rPr>
                <w:rFonts w:hint="eastAsia" w:ascii="宋体" w:hAnsi="宋体"/>
                <w:bCs/>
                <w:color w:val="000000"/>
                <w:sz w:val="24"/>
              </w:rPr>
              <w:t>，</w:t>
            </w:r>
            <w:r>
              <w:rPr>
                <w:rFonts w:ascii="宋体" w:hAnsi="宋体"/>
                <w:bCs/>
                <w:color w:val="000000"/>
                <w:sz w:val="24"/>
              </w:rPr>
              <w:t>病虫害防治相关知识</w:t>
            </w:r>
            <w:r>
              <w:rPr>
                <w:rFonts w:hint="eastAsia" w:ascii="宋体" w:hAnsi="宋体"/>
                <w:bCs/>
                <w:color w:val="000000"/>
                <w:sz w:val="24"/>
              </w:rPr>
              <w:t>，</w:t>
            </w:r>
            <w:r>
              <w:rPr>
                <w:rFonts w:ascii="宋体" w:hAnsi="宋体"/>
                <w:bCs/>
                <w:color w:val="000000"/>
                <w:sz w:val="24"/>
              </w:rPr>
              <w:t>有</w:t>
            </w:r>
            <w:r>
              <w:rPr>
                <w:rFonts w:hint="eastAsia" w:ascii="宋体" w:hAnsi="宋体"/>
                <w:bCs/>
                <w:color w:val="000000"/>
                <w:sz w:val="24"/>
              </w:rPr>
              <w:t>突出</w:t>
            </w:r>
            <w:r>
              <w:rPr>
                <w:rFonts w:ascii="宋体" w:hAnsi="宋体"/>
                <w:bCs/>
                <w:color w:val="000000"/>
                <w:sz w:val="24"/>
              </w:rPr>
              <w:t>的现场协调能力</w:t>
            </w:r>
            <w:r>
              <w:rPr>
                <w:rFonts w:hint="eastAsia" w:ascii="宋体" w:hAnsi="宋体"/>
                <w:bCs/>
                <w:color w:val="000000"/>
                <w:sz w:val="24"/>
              </w:rPr>
              <w:t>。</w:t>
            </w:r>
            <w:r>
              <w:rPr>
                <w:rFonts w:ascii="宋体" w:hAnsi="宋体"/>
                <w:bCs/>
                <w:color w:val="000000"/>
                <w:sz w:val="24"/>
              </w:rPr>
              <w:t>该人员须长期驻点</w:t>
            </w:r>
            <w:r>
              <w:rPr>
                <w:rFonts w:hint="eastAsia" w:ascii="宋体" w:hAnsi="宋体"/>
                <w:bCs/>
                <w:color w:val="000000"/>
                <w:sz w:val="24"/>
              </w:rPr>
              <w:t>。</w:t>
            </w:r>
          </w:p>
        </w:tc>
      </w:tr>
      <w:tr w14:paraId="52C2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863" w:type="dxa"/>
            <w:noWrap/>
            <w:vAlign w:val="top"/>
          </w:tcPr>
          <w:p w14:paraId="2E056E1F">
            <w:pPr>
              <w:jc w:val="center"/>
              <w:rPr>
                <w:rFonts w:hint="eastAsia" w:ascii="宋体" w:hAnsi="宋体"/>
                <w:bCs/>
                <w:color w:val="000000"/>
                <w:sz w:val="24"/>
              </w:rPr>
            </w:pPr>
            <w:r>
              <w:rPr>
                <w:rFonts w:hint="eastAsia" w:ascii="宋体" w:hAnsi="宋体"/>
                <w:bCs/>
                <w:color w:val="000000"/>
                <w:sz w:val="24"/>
              </w:rPr>
              <w:t>技术员</w:t>
            </w:r>
          </w:p>
        </w:tc>
        <w:tc>
          <w:tcPr>
            <w:tcW w:w="1050" w:type="dxa"/>
            <w:noWrap/>
            <w:vAlign w:val="top"/>
          </w:tcPr>
          <w:p w14:paraId="20C384A5">
            <w:pPr>
              <w:jc w:val="center"/>
              <w:rPr>
                <w:rFonts w:hint="eastAsia" w:ascii="宋体" w:hAnsi="宋体"/>
                <w:bCs/>
                <w:color w:val="000000"/>
                <w:sz w:val="24"/>
              </w:rPr>
            </w:pPr>
            <w:r>
              <w:rPr>
                <w:rFonts w:hint="eastAsia" w:ascii="宋体" w:hAnsi="宋体"/>
                <w:bCs/>
                <w:color w:val="000000"/>
                <w:sz w:val="24"/>
              </w:rPr>
              <w:t>1人</w:t>
            </w:r>
          </w:p>
        </w:tc>
        <w:tc>
          <w:tcPr>
            <w:tcW w:w="4845" w:type="dxa"/>
            <w:noWrap/>
            <w:vAlign w:val="top"/>
          </w:tcPr>
          <w:p w14:paraId="20EE38B0">
            <w:pPr>
              <w:rPr>
                <w:rFonts w:ascii="宋体" w:hAnsi="宋体"/>
                <w:bCs/>
                <w:color w:val="000000"/>
                <w:sz w:val="24"/>
              </w:rPr>
            </w:pPr>
            <w:r>
              <w:rPr>
                <w:rFonts w:ascii="宋体" w:hAnsi="宋体"/>
                <w:bCs/>
                <w:color w:val="000000"/>
                <w:sz w:val="24"/>
              </w:rPr>
              <w:t>应熟练掌握各类苗木习性</w:t>
            </w:r>
            <w:r>
              <w:rPr>
                <w:rFonts w:hint="eastAsia" w:ascii="宋体" w:hAnsi="宋体"/>
                <w:bCs/>
                <w:color w:val="000000"/>
                <w:sz w:val="24"/>
              </w:rPr>
              <w:t>、农药种类及其他绿化养护相关技能，并熟练使用办公软件。</w:t>
            </w:r>
          </w:p>
        </w:tc>
      </w:tr>
      <w:tr w14:paraId="2AB7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exact"/>
        </w:trPr>
        <w:tc>
          <w:tcPr>
            <w:tcW w:w="1863" w:type="dxa"/>
            <w:noWrap/>
            <w:vAlign w:val="top"/>
          </w:tcPr>
          <w:p w14:paraId="4A042BF9">
            <w:pPr>
              <w:jc w:val="center"/>
              <w:rPr>
                <w:rFonts w:ascii="宋体" w:hAnsi="宋体"/>
                <w:bCs/>
                <w:color w:val="000000"/>
                <w:sz w:val="24"/>
              </w:rPr>
            </w:pPr>
            <w:r>
              <w:rPr>
                <w:rFonts w:hint="eastAsia" w:ascii="宋体" w:hAnsi="宋体"/>
                <w:bCs/>
                <w:color w:val="000000"/>
                <w:sz w:val="24"/>
              </w:rPr>
              <w:t>常驻人员</w:t>
            </w:r>
          </w:p>
        </w:tc>
        <w:tc>
          <w:tcPr>
            <w:tcW w:w="1050" w:type="dxa"/>
            <w:noWrap/>
            <w:vAlign w:val="top"/>
          </w:tcPr>
          <w:p w14:paraId="23075053">
            <w:pPr>
              <w:jc w:val="center"/>
              <w:rPr>
                <w:rFonts w:ascii="宋体" w:hAnsi="宋体"/>
                <w:bCs/>
                <w:color w:val="000000"/>
                <w:sz w:val="24"/>
              </w:rPr>
            </w:pPr>
            <w:r>
              <w:rPr>
                <w:rFonts w:hint="eastAsia" w:ascii="宋体" w:hAnsi="宋体"/>
                <w:bCs/>
                <w:color w:val="000000"/>
                <w:sz w:val="24"/>
              </w:rPr>
              <w:t>6人</w:t>
            </w:r>
          </w:p>
        </w:tc>
        <w:tc>
          <w:tcPr>
            <w:tcW w:w="4845" w:type="dxa"/>
            <w:noWrap/>
            <w:vAlign w:val="top"/>
          </w:tcPr>
          <w:p w14:paraId="74A9F118">
            <w:pPr>
              <w:rPr>
                <w:rFonts w:ascii="宋体" w:hAnsi="宋体"/>
                <w:bCs/>
                <w:color w:val="000000"/>
                <w:sz w:val="24"/>
              </w:rPr>
            </w:pPr>
            <w:r>
              <w:rPr>
                <w:rFonts w:ascii="宋体" w:hAnsi="宋体"/>
                <w:bCs/>
                <w:color w:val="000000"/>
                <w:sz w:val="24"/>
              </w:rPr>
              <w:t>应</w:t>
            </w:r>
            <w:r>
              <w:rPr>
                <w:rFonts w:hint="eastAsia" w:ascii="宋体" w:hAnsi="宋体"/>
                <w:bCs/>
                <w:color w:val="000000"/>
                <w:sz w:val="24"/>
              </w:rPr>
              <w:t>基本了解</w:t>
            </w:r>
            <w:r>
              <w:rPr>
                <w:rFonts w:ascii="宋体" w:hAnsi="宋体"/>
                <w:bCs/>
                <w:color w:val="000000"/>
                <w:sz w:val="24"/>
              </w:rPr>
              <w:t>绿化养护工作</w:t>
            </w:r>
            <w:r>
              <w:rPr>
                <w:rFonts w:hint="eastAsia" w:ascii="宋体" w:hAnsi="宋体"/>
                <w:bCs/>
                <w:color w:val="000000"/>
                <w:sz w:val="24"/>
              </w:rPr>
              <w:t>绿化养护相关工作内容，有</w:t>
            </w:r>
            <w:r>
              <w:rPr>
                <w:rFonts w:ascii="宋体" w:hAnsi="宋体"/>
                <w:bCs/>
                <w:color w:val="000000"/>
                <w:sz w:val="24"/>
              </w:rPr>
              <w:t>现场施工经验者为佳</w:t>
            </w:r>
            <w:r>
              <w:rPr>
                <w:rFonts w:hint="eastAsia" w:ascii="宋体" w:hAnsi="宋体"/>
                <w:bCs/>
                <w:color w:val="000000"/>
                <w:sz w:val="24"/>
              </w:rPr>
              <w:t>，</w:t>
            </w:r>
            <w:r>
              <w:rPr>
                <w:rFonts w:ascii="宋体" w:hAnsi="宋体"/>
                <w:bCs/>
                <w:color w:val="000000"/>
                <w:sz w:val="24"/>
              </w:rPr>
              <w:t>该人员须长期驻点</w:t>
            </w:r>
            <w:r>
              <w:rPr>
                <w:rFonts w:hint="eastAsia" w:ascii="宋体" w:hAnsi="宋体"/>
                <w:bCs/>
                <w:color w:val="000000"/>
                <w:sz w:val="24"/>
              </w:rPr>
              <w:t>。</w:t>
            </w:r>
          </w:p>
        </w:tc>
      </w:tr>
    </w:tbl>
    <w:p w14:paraId="4ABC8B96">
      <w:pPr>
        <w:spacing w:line="360" w:lineRule="auto"/>
        <w:rPr>
          <w:b/>
          <w:bCs/>
        </w:rPr>
      </w:pPr>
      <w:r>
        <w:rPr>
          <w:rFonts w:hint="eastAsia" w:ascii="宋体" w:hAnsi="宋体" w:cs="宋体"/>
          <w:b/>
          <w:bCs/>
          <w:sz w:val="24"/>
        </w:rPr>
        <w:t>注：投标人应根据工程实际</w:t>
      </w:r>
      <w:r>
        <w:rPr>
          <w:rFonts w:ascii="宋体" w:hAnsi="宋体" w:cs="宋体"/>
          <w:b/>
          <w:bCs/>
          <w:sz w:val="24"/>
        </w:rPr>
        <w:t>,在本表中列明具体的数量及规格要求，本表不作为资格审查条件，投标人无需提供上</w:t>
      </w:r>
      <w:r>
        <w:rPr>
          <w:rFonts w:hint="eastAsia" w:ascii="宋体" w:hAnsi="宋体" w:cs="宋体"/>
          <w:b/>
          <w:bCs/>
          <w:sz w:val="24"/>
        </w:rPr>
        <w:t>述人员机械设备详细清单，也无需在投标文件中提交本表格；但投标人必须承诺中标后应按本表最低要求的数量和规格投入人员及机械设备。</w:t>
      </w:r>
    </w:p>
    <w:p w14:paraId="063FF38C">
      <w:pPr>
        <w:numPr>
          <w:ilvl w:val="0"/>
          <w:numId w:val="1"/>
        </w:numPr>
        <w:spacing w:line="580" w:lineRule="exact"/>
        <w:ind w:firstLine="64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选择方法：</w:t>
      </w:r>
      <w:r>
        <w:rPr>
          <w:rFonts w:hint="eastAsia" w:ascii="黑体" w:hAnsi="黑体" w:eastAsia="黑体" w:cs="黑体"/>
          <w:color w:val="000000" w:themeColor="text1"/>
          <w:sz w:val="32"/>
          <w:szCs w:val="32"/>
          <w:lang w:val="en-US" w:eastAsia="zh-CN"/>
          <w14:textFill>
            <w14:solidFill>
              <w14:schemeClr w14:val="tx1"/>
            </w14:solidFill>
          </w14:textFill>
        </w:rPr>
        <w:t>等概率</w:t>
      </w:r>
      <w:r>
        <w:rPr>
          <w:rFonts w:hint="eastAsia" w:ascii="黑体" w:hAnsi="黑体" w:eastAsia="黑体" w:cs="黑体"/>
          <w:color w:val="000000" w:themeColor="text1"/>
          <w:sz w:val="32"/>
          <w:szCs w:val="32"/>
          <w14:textFill>
            <w14:solidFill>
              <w14:schemeClr w14:val="tx1"/>
            </w14:solidFill>
          </w14:textFill>
        </w:rPr>
        <w:t>摇球法</w:t>
      </w:r>
    </w:p>
    <w:p w14:paraId="2D6C7E7C">
      <w:pPr>
        <w:spacing w:line="58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四、报名和选择文件的获取</w:t>
      </w:r>
    </w:p>
    <w:p w14:paraId="3E329563">
      <w:pPr>
        <w:spacing w:line="360" w:lineRule="auto"/>
        <w:ind w:left="0" w:leftChars="0"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凡有意参加选择者，请于</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ascii="仿宋_GB2312" w:hAnsi="仿宋_GB2312" w:eastAsia="仿宋_GB2312" w:cs="仿宋_GB2312"/>
          <w:color w:val="000000" w:themeColor="text1"/>
          <w:sz w:val="32"/>
          <w:szCs w:val="32"/>
          <w14:textFill>
            <w14:solidFill>
              <w14:schemeClr w14:val="tx1"/>
            </w14:solidFill>
          </w14:textFill>
        </w:rPr>
        <w:t>8:00-11:30,1</w:t>
      </w:r>
      <w:r>
        <w:rPr>
          <w:rFonts w:hint="eastAsia" w:ascii="仿宋_GB2312" w:hAnsi="仿宋_GB2312" w:eastAsia="仿宋_GB2312" w:cs="仿宋_GB2312"/>
          <w:color w:val="000000" w:themeColor="text1"/>
          <w:sz w:val="32"/>
          <w:szCs w:val="32"/>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w:t>
      </w:r>
      <w:r>
        <w:rPr>
          <w:rFonts w:ascii="仿宋_GB2312" w:hAnsi="仿宋_GB2312" w:eastAsia="仿宋_GB2312" w:cs="仿宋_GB2312"/>
          <w:color w:val="000000" w:themeColor="text1"/>
          <w:sz w:val="32"/>
          <w:szCs w:val="32"/>
          <w14:textFill>
            <w14:solidFill>
              <w14:schemeClr w14:val="tx1"/>
            </w14:solidFill>
          </w14:textFill>
        </w:rPr>
        <w:t>0-17:</w:t>
      </w:r>
      <w:r>
        <w:rPr>
          <w:rFonts w:hint="eastAsia" w:ascii="仿宋_GB2312" w:hAnsi="仿宋_GB2312" w:eastAsia="仿宋_GB2312" w:cs="仿宋_GB2312"/>
          <w:color w:val="000000" w:themeColor="text1"/>
          <w:sz w:val="32"/>
          <w:szCs w:val="32"/>
          <w14:textFill>
            <w14:solidFill>
              <w14:schemeClr w14:val="tx1"/>
            </w14:solidFill>
          </w14:textFill>
        </w:rPr>
        <w:t>0</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发送邮箱号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及银行转账凭证至1047715898@qq.com.</w:t>
      </w:r>
      <w:r>
        <w:rPr>
          <w:rFonts w:hint="eastAsia" w:ascii="仿宋_GB2312" w:hAnsi="仿宋_GB2312" w:eastAsia="仿宋_GB2312" w:cs="仿宋_GB2312"/>
          <w:color w:val="000000" w:themeColor="text1"/>
          <w:sz w:val="32"/>
          <w:szCs w:val="32"/>
          <w14:textFill>
            <w14:solidFill>
              <w14:schemeClr w14:val="tx1"/>
            </w14:solidFill>
          </w14:textFill>
        </w:rPr>
        <w:t>获取</w:t>
      </w:r>
      <w:r>
        <w:rPr>
          <w:rFonts w:ascii="仿宋_GB2312" w:hAnsi="仿宋_GB2312" w:eastAsia="仿宋_GB2312" w:cs="仿宋_GB2312"/>
          <w:color w:val="000000" w:themeColor="text1"/>
          <w:sz w:val="32"/>
          <w:szCs w:val="32"/>
          <w14:textFill>
            <w14:solidFill>
              <w14:schemeClr w14:val="tx1"/>
            </w14:solidFill>
          </w14:textFill>
        </w:rPr>
        <w:t>选择文件，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选择</w:t>
      </w:r>
      <w:r>
        <w:rPr>
          <w:rFonts w:hint="eastAsia" w:ascii="仿宋_GB2312" w:hAnsi="仿宋_GB2312" w:eastAsia="仿宋_GB2312" w:cs="仿宋_GB2312"/>
          <w:color w:val="000000" w:themeColor="text1"/>
          <w:sz w:val="32"/>
          <w:szCs w:val="32"/>
          <w14:textFill>
            <w14:solidFill>
              <w14:schemeClr w14:val="tx1"/>
            </w14:solidFill>
          </w14:textFill>
        </w:rPr>
        <w:t>文件电子版售价</w:t>
      </w:r>
      <w:r>
        <w:rPr>
          <w:rFonts w:ascii="仿宋_GB2312" w:hAnsi="仿宋_GB2312" w:eastAsia="仿宋_GB2312" w:cs="仿宋_GB2312"/>
          <w:color w:val="000000" w:themeColor="text1"/>
          <w:sz w:val="32"/>
          <w:szCs w:val="32"/>
          <w14:textFill>
            <w14:solidFill>
              <w14:schemeClr w14:val="tx1"/>
            </w14:solidFill>
          </w14:textFill>
        </w:rPr>
        <w:t>300元人民币，过期不售，售后不退。</w:t>
      </w:r>
    </w:p>
    <w:p w14:paraId="331D9E36">
      <w:pPr>
        <w:spacing w:line="4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购买标书银行帐户信息：</w:t>
      </w:r>
    </w:p>
    <w:p w14:paraId="1DA45BF3">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开户银行：</w:t>
      </w:r>
      <w:r>
        <w:rPr>
          <w:rFonts w:ascii="仿宋_GB2312" w:hAnsi="仿宋_GB2312" w:eastAsia="仿宋_GB2312" w:cs="仿宋_GB2312"/>
          <w:bCs/>
          <w:color w:val="000000" w:themeColor="text1"/>
          <w:sz w:val="32"/>
          <w:szCs w:val="32"/>
          <w14:textFill>
            <w14:solidFill>
              <w14:schemeClr w14:val="tx1"/>
            </w14:solidFill>
          </w14:textFill>
        </w:rPr>
        <w:t xml:space="preserve">   中国建设银行延平支行     </w:t>
      </w:r>
    </w:p>
    <w:p w14:paraId="1A317832">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开户名称：</w:t>
      </w:r>
      <w:r>
        <w:rPr>
          <w:rFonts w:ascii="仿宋_GB2312" w:hAnsi="仿宋_GB2312" w:eastAsia="仿宋_GB2312" w:cs="仿宋_GB2312"/>
          <w:bCs/>
          <w:color w:val="000000" w:themeColor="text1"/>
          <w:sz w:val="32"/>
          <w:szCs w:val="32"/>
          <w14:textFill>
            <w14:solidFill>
              <w14:schemeClr w14:val="tx1"/>
            </w14:solidFill>
          </w14:textFill>
        </w:rPr>
        <w:t xml:space="preserve">   南平市高建养护工程有限公司     </w:t>
      </w:r>
    </w:p>
    <w:p w14:paraId="11CB062E">
      <w:pPr>
        <w:spacing w:line="58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帐</w:t>
      </w:r>
      <w:r>
        <w:rPr>
          <w:rFonts w:ascii="仿宋_GB2312" w:hAnsi="仿宋_GB2312" w:eastAsia="仿宋_GB2312" w:cs="仿宋_GB2312"/>
          <w:bCs/>
          <w:color w:val="000000" w:themeColor="text1"/>
          <w:sz w:val="32"/>
          <w:szCs w:val="32"/>
          <w14:textFill>
            <w14:solidFill>
              <w14:schemeClr w14:val="tx1"/>
            </w14:solidFill>
          </w14:textFill>
        </w:rPr>
        <w:t xml:space="preserve">    号：   35001676107052507374   </w:t>
      </w:r>
    </w:p>
    <w:p w14:paraId="1A918674">
      <w:pPr>
        <w:tabs>
          <w:tab w:val="left" w:pos="1134"/>
        </w:tabs>
        <w:spacing w:line="520" w:lineRule="exact"/>
        <w:ind w:left="42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用途：（请注明）“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2025-2027</w:t>
      </w:r>
      <w:r>
        <w:rPr>
          <w:rFonts w:hint="eastAsia" w:ascii="仿宋_GB2312" w:hAnsi="仿宋_GB2312" w:eastAsia="仿宋_GB2312" w:cs="仿宋_GB2312"/>
          <w:color w:val="000000" w:themeColor="text1"/>
          <w:spacing w:val="-4"/>
          <w:sz w:val="32"/>
          <w:szCs w:val="32"/>
          <w14:textFill>
            <w14:solidFill>
              <w14:schemeClr w14:val="tx1"/>
            </w14:solidFill>
          </w14:textFill>
        </w:rPr>
        <w:t>日常养护</w:t>
      </w:r>
      <w:r>
        <w:rPr>
          <w:rFonts w:hint="eastAsia" w:ascii="仿宋_GB2312" w:hAnsi="仿宋_GB2312" w:eastAsia="仿宋_GB2312" w:cs="仿宋_GB2312"/>
          <w:bCs/>
          <w:color w:val="000000" w:themeColor="text1"/>
          <w:sz w:val="32"/>
          <w:szCs w:val="32"/>
          <w14:textFill>
            <w14:solidFill>
              <w14:schemeClr w14:val="tx1"/>
            </w14:solidFill>
          </w14:textFill>
        </w:rPr>
        <w:t>标书费”，如因承诺人汇款凭证未注明项目名称造成选择人无法识别承诺保证金到账情况或识别错误的，其责任由承诺人自行承担。</w:t>
      </w:r>
    </w:p>
    <w:p w14:paraId="333F92CB">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五、承诺文件的递交</w:t>
      </w:r>
    </w:p>
    <w:p w14:paraId="0E90001E">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承诺文件递交的截止时间为：</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日上午</w:t>
      </w:r>
      <w:r>
        <w:rPr>
          <w:rFonts w:ascii="仿宋_GB2312" w:hAnsi="仿宋_GB2312" w:eastAsia="仿宋_GB2312" w:cs="仿宋_GB2312"/>
          <w:color w:val="000000" w:themeColor="text1"/>
          <w:sz w:val="32"/>
          <w:szCs w:val="32"/>
          <w14:textFill>
            <w14:solidFill>
              <w14:schemeClr w14:val="tx1"/>
            </w14:solidFill>
          </w14:textFill>
        </w:rPr>
        <w:t>9:00</w:t>
      </w:r>
      <w:r>
        <w:rPr>
          <w:rFonts w:hint="eastAsia" w:ascii="仿宋_GB2312" w:hAnsi="仿宋_GB2312" w:eastAsia="仿宋_GB2312" w:cs="仿宋_GB2312"/>
          <w:color w:val="000000" w:themeColor="text1"/>
          <w:sz w:val="32"/>
          <w:szCs w:val="32"/>
          <w14:textFill>
            <w14:solidFill>
              <w14:schemeClr w14:val="tx1"/>
            </w14:solidFill>
          </w14:textFill>
        </w:rPr>
        <w:t>，承诺人应于</w:t>
      </w:r>
      <w:r>
        <w:rPr>
          <w:rFonts w:ascii="仿宋_GB2312" w:hAnsi="仿宋_GB2312" w:eastAsia="仿宋_GB2312" w:cs="仿宋_GB2312"/>
          <w:color w:val="000000" w:themeColor="text1"/>
          <w:sz w:val="32"/>
          <w:szCs w:val="32"/>
          <w14:textFill>
            <w14:solidFill>
              <w14:schemeClr w14:val="tx1"/>
            </w14:solidFill>
          </w14:textFill>
        </w:rPr>
        <w:t xml:space="preserve"> 20</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日截止时间前将承诺文件递交至武夷山市南平高速公路运营管理中心</w:t>
      </w:r>
      <w:r>
        <w:rPr>
          <w:rFonts w:ascii="仿宋_GB2312" w:hAnsi="仿宋_GB2312" w:eastAsia="仿宋_GB2312" w:cs="仿宋_GB2312"/>
          <w:color w:val="000000" w:themeColor="text1"/>
          <w:sz w:val="32"/>
          <w:szCs w:val="32"/>
          <w14:textFill>
            <w14:solidFill>
              <w14:schemeClr w14:val="tx1"/>
            </w14:solidFill>
          </w14:textFill>
        </w:rPr>
        <w:t xml:space="preserve"> B</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栋（南平市高建养护工程有限公司二楼会议室）。逾期送达的或者未送达指定地点的承诺文件不予受理。</w:t>
      </w:r>
    </w:p>
    <w:p w14:paraId="7AA6EFAF">
      <w:pPr>
        <w:spacing w:line="58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六、承诺保证金递交</w:t>
      </w:r>
    </w:p>
    <w:p w14:paraId="73E720D3">
      <w:pPr>
        <w:spacing w:line="520" w:lineRule="exact"/>
        <w:ind w:left="481" w:leftChars="229" w:firstLine="160" w:firstLineChars="5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6.1承诺保证金提交金额：人民币</w:t>
      </w:r>
      <w:r>
        <w:rPr>
          <w:rFonts w:hint="eastAsia" w:ascii="仿宋_GB2312" w:hAnsi="仿宋_GB2312" w:eastAsia="仿宋_GB2312" w:cs="仿宋_GB2312"/>
          <w:bCs/>
          <w:color w:val="000000" w:themeColor="text1"/>
          <w:sz w:val="32"/>
          <w:szCs w:val="32"/>
          <w14:textFill>
            <w14:solidFill>
              <w14:schemeClr w14:val="tx1"/>
            </w14:solidFill>
          </w14:textFill>
        </w:rPr>
        <w:t>贰万元整（￥</w:t>
      </w:r>
      <w:r>
        <w:rPr>
          <w:rFonts w:ascii="仿宋_GB2312" w:hAnsi="仿宋_GB2312" w:eastAsia="仿宋_GB2312" w:cs="仿宋_GB2312"/>
          <w:bCs/>
          <w:color w:val="000000" w:themeColor="text1"/>
          <w:sz w:val="32"/>
          <w:szCs w:val="32"/>
          <w14:textFill>
            <w14:solidFill>
              <w14:schemeClr w14:val="tx1"/>
            </w14:solidFill>
          </w14:textFill>
        </w:rPr>
        <w:t>20000</w:t>
      </w:r>
    </w:p>
    <w:p w14:paraId="745EA8A0">
      <w:pPr>
        <w:spacing w:line="520" w:lineRule="exac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元）；须在</w:t>
      </w:r>
      <w:r>
        <w:rPr>
          <w:rFonts w:ascii="仿宋_GB2312" w:hAnsi="仿宋_GB2312" w:eastAsia="仿宋_GB2312" w:cs="仿宋_GB2312"/>
          <w:bCs/>
          <w:color w:val="000000" w:themeColor="text1"/>
          <w:sz w:val="32"/>
          <w:szCs w:val="32"/>
          <w14:textFill>
            <w14:solidFill>
              <w14:schemeClr w14:val="tx1"/>
            </w14:solidFill>
          </w14:textFill>
        </w:rPr>
        <w:t>20</w:t>
      </w: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年1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18</w:t>
      </w:r>
      <w:r>
        <w:rPr>
          <w:rFonts w:ascii="仿宋_GB2312" w:hAnsi="仿宋_GB2312" w:eastAsia="仿宋_GB2312" w:cs="仿宋_GB2312"/>
          <w:bCs/>
          <w:color w:val="000000" w:themeColor="text1"/>
          <w:sz w:val="32"/>
          <w:szCs w:val="32"/>
          <w14:textFill>
            <w14:solidFill>
              <w14:schemeClr w14:val="tx1"/>
            </w14:solidFill>
          </w14:textFill>
        </w:rPr>
        <w:t>日 17:00  时前从</w:t>
      </w:r>
      <w:r>
        <w:rPr>
          <w:rFonts w:hint="eastAsia" w:ascii="仿宋_GB2312" w:hAnsi="仿宋_GB2312" w:eastAsia="仿宋_GB2312" w:cs="仿宋_GB2312"/>
          <w:bCs/>
          <w:color w:val="000000" w:themeColor="text1"/>
          <w:sz w:val="32"/>
          <w:szCs w:val="32"/>
          <w14:textFill>
            <w14:solidFill>
              <w14:schemeClr w14:val="tx1"/>
            </w14:solidFill>
          </w14:textFill>
        </w:rPr>
        <w:t>承诺人基本帐户一次性汇达并解入选择人指定银行帐号（写明用途，以到账时间为准）</w:t>
      </w:r>
    </w:p>
    <w:p w14:paraId="4676960F">
      <w:pPr>
        <w:spacing w:line="52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6.2</w:t>
      </w:r>
      <w:r>
        <w:rPr>
          <w:rFonts w:hint="eastAsia" w:ascii="仿宋_GB2312" w:hAnsi="仿宋_GB2312" w:eastAsia="仿宋_GB2312" w:cs="仿宋_GB2312"/>
          <w:bCs/>
          <w:color w:val="000000" w:themeColor="text1"/>
          <w:sz w:val="32"/>
          <w:szCs w:val="32"/>
          <w14:textFill>
            <w14:solidFill>
              <w14:schemeClr w14:val="tx1"/>
            </w14:solidFill>
          </w14:textFill>
        </w:rPr>
        <w:t>承诺保证金银行帐号：</w:t>
      </w:r>
    </w:p>
    <w:p w14:paraId="3872ED94">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开户银行：</w:t>
      </w:r>
      <w:r>
        <w:rPr>
          <w:rFonts w:ascii="仿宋_GB2312" w:hAnsi="仿宋_GB2312" w:eastAsia="仿宋_GB2312" w:cs="仿宋_GB2312"/>
          <w:bCs/>
          <w:color w:val="000000" w:themeColor="text1"/>
          <w:sz w:val="32"/>
          <w:szCs w:val="32"/>
          <w14:textFill>
            <w14:solidFill>
              <w14:schemeClr w14:val="tx1"/>
            </w14:solidFill>
          </w14:textFill>
        </w:rPr>
        <w:t xml:space="preserve">   中国建设银行延平支行     </w:t>
      </w:r>
    </w:p>
    <w:p w14:paraId="775494BF">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开户名称：</w:t>
      </w:r>
      <w:r>
        <w:rPr>
          <w:rFonts w:ascii="仿宋_GB2312" w:hAnsi="仿宋_GB2312" w:eastAsia="仿宋_GB2312" w:cs="仿宋_GB2312"/>
          <w:bCs/>
          <w:color w:val="000000" w:themeColor="text1"/>
          <w:sz w:val="32"/>
          <w:szCs w:val="32"/>
          <w14:textFill>
            <w14:solidFill>
              <w14:schemeClr w14:val="tx1"/>
            </w14:solidFill>
          </w14:textFill>
        </w:rPr>
        <w:t xml:space="preserve">   南平市高建养护工程有限公司     </w:t>
      </w:r>
    </w:p>
    <w:p w14:paraId="543CC6BB">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帐</w:t>
      </w:r>
      <w:r>
        <w:rPr>
          <w:rFonts w:ascii="仿宋_GB2312" w:hAnsi="仿宋_GB2312" w:eastAsia="仿宋_GB2312" w:cs="仿宋_GB2312"/>
          <w:bCs/>
          <w:color w:val="000000" w:themeColor="text1"/>
          <w:sz w:val="32"/>
          <w:szCs w:val="32"/>
          <w14:textFill>
            <w14:solidFill>
              <w14:schemeClr w14:val="tx1"/>
            </w14:solidFill>
          </w14:textFill>
        </w:rPr>
        <w:t xml:space="preserve">    号：   35001676107052507374     </w:t>
      </w:r>
    </w:p>
    <w:p w14:paraId="07A0A5C6">
      <w:pPr>
        <w:tabs>
          <w:tab w:val="left" w:pos="1134"/>
        </w:tabs>
        <w:spacing w:line="520" w:lineRule="exact"/>
        <w:ind w:left="42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用途：（请注明）“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2025-2027年</w:t>
      </w:r>
      <w:r>
        <w:rPr>
          <w:rFonts w:hint="eastAsia" w:ascii="仿宋_GB2312" w:hAnsi="仿宋_GB2312" w:eastAsia="仿宋_GB2312" w:cs="仿宋_GB2312"/>
          <w:color w:val="000000" w:themeColor="text1"/>
          <w:spacing w:val="-4"/>
          <w:sz w:val="32"/>
          <w:szCs w:val="32"/>
          <w14:textFill>
            <w14:solidFill>
              <w14:schemeClr w14:val="tx1"/>
            </w14:solidFill>
          </w14:textFill>
        </w:rPr>
        <w:t>高速日常养护</w:t>
      </w:r>
      <w:r>
        <w:rPr>
          <w:rFonts w:hint="eastAsia" w:ascii="仿宋_GB2312" w:hAnsi="仿宋_GB2312" w:eastAsia="仿宋_GB2312" w:cs="仿宋_GB2312"/>
          <w:bCs/>
          <w:color w:val="000000" w:themeColor="text1"/>
          <w:sz w:val="32"/>
          <w:szCs w:val="32"/>
          <w14:textFill>
            <w14:solidFill>
              <w14:schemeClr w14:val="tx1"/>
            </w14:solidFill>
          </w14:textFill>
        </w:rPr>
        <w:t>承诺保证金”，如因承诺人汇款凭证未注明项目名称造成选择人无法识别承诺保证金到账情况或识别错误的，其责任由承诺人自行承担。</w:t>
      </w:r>
    </w:p>
    <w:p w14:paraId="7145264C">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七、其他说明</w:t>
      </w:r>
    </w:p>
    <w:p w14:paraId="4792E726">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中选后承诺保证金转</w:t>
      </w:r>
      <w:r>
        <w:rPr>
          <w:rFonts w:ascii="仿宋_GB2312" w:hAnsi="仿宋_GB2312" w:eastAsia="仿宋_GB2312" w:cs="仿宋_GB2312"/>
          <w:color w:val="000000" w:themeColor="text1"/>
          <w:sz w:val="32"/>
          <w:szCs w:val="32"/>
          <w14:textFill>
            <w14:solidFill>
              <w14:schemeClr w14:val="tx1"/>
            </w14:solidFill>
          </w14:textFill>
        </w:rPr>
        <w:t>为履约保证金。</w:t>
      </w:r>
    </w:p>
    <w:p w14:paraId="133E517B">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2、中选</w:t>
      </w:r>
      <w:r>
        <w:rPr>
          <w:rFonts w:hint="eastAsia" w:ascii="仿宋_GB2312" w:hAnsi="仿宋_GB2312" w:eastAsia="仿宋_GB2312" w:cs="仿宋_GB2312"/>
          <w:bCs/>
          <w:color w:val="000000" w:themeColor="text1"/>
          <w:sz w:val="32"/>
          <w:szCs w:val="32"/>
          <w14:textFill>
            <w14:solidFill>
              <w14:schemeClr w14:val="tx1"/>
            </w14:solidFill>
          </w14:textFill>
        </w:rPr>
        <w:t>日常养护工程的协作班组与南平市高建养护工程有限公司分别签订日常普修（小水毁小专项）及绿化养护合同。</w:t>
      </w:r>
    </w:p>
    <w:p w14:paraId="7B255AA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3、日常养护</w:t>
      </w:r>
      <w:r>
        <w:rPr>
          <w:rFonts w:ascii="仿宋_GB2312" w:hAnsi="仿宋_GB2312" w:eastAsia="仿宋_GB2312" w:cs="仿宋_GB2312"/>
          <w:color w:val="000000" w:themeColor="text1"/>
          <w:sz w:val="32"/>
          <w:szCs w:val="32"/>
          <w14:textFill>
            <w14:solidFill>
              <w14:schemeClr w14:val="tx1"/>
            </w14:solidFill>
          </w14:textFill>
        </w:rPr>
        <w:t>每个</w:t>
      </w:r>
      <w:r>
        <w:rPr>
          <w:rFonts w:hint="eastAsia" w:ascii="仿宋_GB2312" w:hAnsi="仿宋_GB2312" w:eastAsia="仿宋_GB2312" w:cs="仿宋_GB2312"/>
          <w:color w:val="000000" w:themeColor="text1"/>
          <w:sz w:val="32"/>
          <w:szCs w:val="32"/>
          <w14:textFill>
            <w14:solidFill>
              <w14:schemeClr w14:val="tx1"/>
            </w14:solidFill>
          </w14:textFill>
        </w:rPr>
        <w:t>承诺人必须同时参与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个标段的投标，但只能中选一个标段。</w:t>
      </w:r>
    </w:p>
    <w:p w14:paraId="716A3DE4">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4、根据甲方下发的《南平市高建养护工程有限公司协作班组考核实施办法》（试行版）每季度对协作班组进行考核，若班组</w:t>
      </w:r>
      <w:r>
        <w:rPr>
          <w:rFonts w:hint="eastAsia" w:ascii="仿宋_GB2312" w:hAnsi="仿宋_GB2312" w:eastAsia="仿宋_GB2312" w:cs="仿宋_GB2312"/>
          <w:b/>
          <w:bCs/>
          <w:color w:val="000000" w:themeColor="text1"/>
          <w:sz w:val="32"/>
          <w:szCs w:val="32"/>
          <w14:textFill>
            <w14:solidFill>
              <w14:schemeClr w14:val="tx1"/>
            </w14:solidFill>
          </w14:textFill>
        </w:rPr>
        <w:t>连续两季度考核得分低于</w:t>
      </w:r>
      <w:r>
        <w:rPr>
          <w:rFonts w:ascii="仿宋_GB2312" w:hAnsi="仿宋_GB2312" w:eastAsia="仿宋_GB2312" w:cs="仿宋_GB2312"/>
          <w:b/>
          <w:bCs/>
          <w:color w:val="000000" w:themeColor="text1"/>
          <w:sz w:val="32"/>
          <w:szCs w:val="32"/>
          <w14:textFill>
            <w14:solidFill>
              <w14:schemeClr w14:val="tx1"/>
            </w14:solidFill>
          </w14:textFill>
        </w:rPr>
        <w:t>80</w:t>
      </w:r>
      <w:r>
        <w:rPr>
          <w:rFonts w:hint="eastAsia" w:ascii="仿宋_GB2312" w:hAnsi="仿宋_GB2312" w:eastAsia="仿宋_GB2312" w:cs="仿宋_GB2312"/>
          <w:b/>
          <w:bCs/>
          <w:color w:val="000000" w:themeColor="text1"/>
          <w:sz w:val="32"/>
          <w:szCs w:val="32"/>
          <w14:textFill>
            <w14:solidFill>
              <w14:schemeClr w14:val="tx1"/>
            </w14:solidFill>
          </w14:textFill>
        </w:rPr>
        <w:t>分的，甲方有权提前终止合同，乙方无条件接受。</w:t>
      </w:r>
    </w:p>
    <w:p w14:paraId="27442B44">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八、联系方式</w:t>
      </w:r>
    </w:p>
    <w:p w14:paraId="0B06AFF9">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选择人：</w:t>
      </w: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p>
    <w:p w14:paraId="6CEDCCC2">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联系人：邓工</w:t>
      </w:r>
    </w:p>
    <w:p w14:paraId="0E4EACA9">
      <w:pPr>
        <w:spacing w:line="520" w:lineRule="exact"/>
        <w:ind w:firstLine="624" w:firstLineChars="200"/>
        <w:rPr>
          <w:rFonts w:ascii="宋体" w:hAnsi="宋体" w:eastAsia="仿宋_GB2312"/>
          <w:spacing w:val="-4"/>
          <w:sz w:val="28"/>
          <w:szCs w:val="28"/>
        </w:rPr>
      </w:pPr>
      <w:r>
        <w:rPr>
          <w:rFonts w:hint="eastAsia" w:ascii="仿宋_GB2312" w:hAnsi="仿宋_GB2312" w:eastAsia="仿宋_GB2312" w:cs="仿宋_GB2312"/>
          <w:spacing w:val="-4"/>
          <w:sz w:val="32"/>
          <w:szCs w:val="32"/>
        </w:rPr>
        <w:t>电话：13960642639</w:t>
      </w:r>
    </w:p>
    <w:p w14:paraId="3AF6A5AF">
      <w:pPr>
        <w:spacing w:line="580" w:lineRule="exact"/>
        <w:ind w:firstLine="643" w:firstLineChars="200"/>
        <w:rPr>
          <w:rFonts w:ascii="仿宋" w:hAnsi="仿宋" w:eastAsia="仿宋"/>
          <w:b/>
          <w:color w:val="000000" w:themeColor="text1"/>
          <w:sz w:val="32"/>
          <w:szCs w:val="32"/>
          <w14:textFill>
            <w14:solidFill>
              <w14:schemeClr w14:val="tx1"/>
            </w14:solidFill>
          </w14:textFill>
        </w:rPr>
      </w:pPr>
    </w:p>
    <w:p w14:paraId="1D09ADF1">
      <w:pPr>
        <w:spacing w:line="580" w:lineRule="exact"/>
        <w:ind w:firstLine="640" w:firstLineChars="200"/>
        <w:rPr>
          <w:rFonts w:ascii="仿宋" w:hAnsi="仿宋" w:eastAsia="仿宋"/>
          <w:color w:val="000000" w:themeColor="text1"/>
          <w:sz w:val="32"/>
          <w:szCs w:val="32"/>
          <w14:textFill>
            <w14:solidFill>
              <w14:schemeClr w14:val="tx1"/>
            </w14:solidFill>
          </w14:textFill>
        </w:rPr>
      </w:pPr>
    </w:p>
    <w:bookmarkEnd w:id="8"/>
    <w:p w14:paraId="3801FC9D">
      <w:pPr>
        <w:spacing w:line="520" w:lineRule="exact"/>
        <w:ind w:left="3520" w:hanging="3534" w:hangingChars="1100"/>
        <w:jc w:val="center"/>
      </w:pP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r>
        <w:rPr>
          <w:rFonts w:ascii="仿宋" w:hAnsi="仿宋" w:eastAsia="仿宋"/>
          <w:color w:val="000000" w:themeColor="text1"/>
          <w:kern w:val="0"/>
          <w:sz w:val="32"/>
          <w:szCs w:val="32"/>
          <w14:textFill>
            <w14:solidFill>
              <w14:schemeClr w14:val="tx1"/>
            </w14:solidFill>
          </w14:textFill>
        </w:rPr>
        <w:t xml:space="preserve">                       20</w:t>
      </w:r>
      <w:r>
        <w:rPr>
          <w:rFonts w:hint="eastAsia" w:ascii="仿宋" w:hAnsi="仿宋" w:eastAsia="仿宋"/>
          <w:color w:val="000000" w:themeColor="text1"/>
          <w:kern w:val="0"/>
          <w:sz w:val="32"/>
          <w:szCs w:val="32"/>
          <w14:textFill>
            <w14:solidFill>
              <w14:schemeClr w14:val="tx1"/>
            </w14:solidFill>
          </w14:textFill>
        </w:rPr>
        <w:t>2</w:t>
      </w:r>
      <w:r>
        <w:rPr>
          <w:rFonts w:hint="eastAsia" w:ascii="仿宋" w:hAnsi="仿宋" w:eastAsia="仿宋"/>
          <w:color w:val="000000" w:themeColor="text1"/>
          <w:kern w:val="0"/>
          <w:sz w:val="32"/>
          <w:szCs w:val="32"/>
          <w:lang w:val="en-US" w:eastAsia="zh-CN"/>
          <w14:textFill>
            <w14:solidFill>
              <w14:schemeClr w14:val="tx1"/>
            </w14:solidFill>
          </w14:textFill>
        </w:rPr>
        <w:t>4</w:t>
      </w:r>
      <w:r>
        <w:rPr>
          <w:rFonts w:hint="eastAsia" w:ascii="仿宋" w:hAnsi="仿宋" w:eastAsia="仿宋"/>
          <w:color w:val="000000" w:themeColor="text1"/>
          <w:kern w:val="0"/>
          <w:sz w:val="32"/>
          <w:szCs w:val="32"/>
          <w14:textFill>
            <w14:solidFill>
              <w14:schemeClr w14:val="tx1"/>
            </w14:solidFill>
          </w14:textFill>
        </w:rPr>
        <w:t>年1</w:t>
      </w:r>
      <w:r>
        <w:rPr>
          <w:rFonts w:hint="eastAsia" w:ascii="仿宋" w:hAnsi="仿宋" w:eastAsia="仿宋"/>
          <w:color w:val="000000" w:themeColor="text1"/>
          <w:kern w:val="0"/>
          <w:sz w:val="32"/>
          <w:szCs w:val="32"/>
          <w:lang w:val="en-US" w:eastAsia="zh-CN"/>
          <w14:textFill>
            <w14:solidFill>
              <w14:schemeClr w14:val="tx1"/>
            </w14:solidFill>
          </w14:textFill>
        </w:rPr>
        <w:t>1</w:t>
      </w:r>
      <w:r>
        <w:rPr>
          <w:rFonts w:hint="eastAsia" w:ascii="仿宋" w:hAnsi="仿宋" w:eastAsia="仿宋"/>
          <w:color w:val="000000" w:themeColor="text1"/>
          <w:kern w:val="0"/>
          <w:sz w:val="32"/>
          <w:szCs w:val="32"/>
          <w14:textFill>
            <w14:solidFill>
              <w14:schemeClr w14:val="tx1"/>
            </w14:solidFill>
          </w14:textFill>
        </w:rPr>
        <w:t>月</w:t>
      </w:r>
      <w:bookmarkEnd w:id="1"/>
      <w:bookmarkEnd w:id="2"/>
      <w:bookmarkEnd w:id="3"/>
      <w:bookmarkEnd w:id="4"/>
      <w:bookmarkEnd w:id="5"/>
      <w:bookmarkEnd w:id="6"/>
      <w:bookmarkEnd w:id="7"/>
      <w:r>
        <w:rPr>
          <w:rFonts w:hint="eastAsia" w:ascii="仿宋" w:hAnsi="仿宋" w:eastAsia="仿宋"/>
          <w:color w:val="000000" w:themeColor="text1"/>
          <w:kern w:val="0"/>
          <w:sz w:val="32"/>
          <w:szCs w:val="32"/>
          <w:lang w:val="en-US" w:eastAsia="zh-CN"/>
          <w14:textFill>
            <w14:solidFill>
              <w14:schemeClr w14:val="tx1"/>
            </w14:solidFill>
          </w14:textFill>
        </w:rPr>
        <w:t>11</w:t>
      </w:r>
      <w:r>
        <w:rPr>
          <w:rFonts w:hint="eastAsia" w:ascii="仿宋" w:hAnsi="仿宋" w:eastAsia="仿宋"/>
          <w:color w:val="000000" w:themeColor="text1"/>
          <w:kern w:val="0"/>
          <w:sz w:val="32"/>
          <w:szCs w:val="32"/>
          <w14:textFill>
            <w14:solidFill>
              <w14:schemeClr w14:val="tx1"/>
            </w14:solidFill>
          </w14:textFill>
        </w:rPr>
        <w:t>日</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CED6"/>
    <w:multiLevelType w:val="singleLevel"/>
    <w:tmpl w:val="A967CE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NDMzYjYxODc5NzY0N2Q0M2I1YjMxYjg4NmFhZGYifQ=="/>
  </w:docVars>
  <w:rsids>
    <w:rsidRoot w:val="5ED02F0C"/>
    <w:rsid w:val="5ED0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jc w:val="center"/>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line="480" w:lineRule="exact"/>
      <w:ind w:firstLine="359" w:firstLineChars="171"/>
    </w:pPr>
  </w:style>
  <w:style w:type="paragraph" w:styleId="4">
    <w:name w:val="Body Text First Indent 2"/>
    <w:basedOn w:val="3"/>
    <w:qFormat/>
    <w:uiPriority w:val="0"/>
    <w:pPr>
      <w:spacing w:after="120" w:line="360" w:lineRule="auto"/>
      <w:ind w:left="200" w:leftChars="200"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2024-11-11T08:45:00Z</dcterms:created>
  <dc:creator>邓慧珑</dc:creator>
  <cp:lastModifiedBy>邓慧珑</cp:lastModifiedBy>
  <dcterms:modified xsi:type="dcterms:W3CDTF">2024-11-11T08:45:40Z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09CE58B71B8644138187C17B0634CC37_11</vt:lpwstr>
  </property>
</Properties>
</file>