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highlight w:val="none"/>
        </w:rPr>
      </w:pPr>
      <w:r>
        <w:rPr>
          <w:rFonts w:hint="eastAsia"/>
          <w:highlight w:val="none"/>
          <w:lang w:val="en-US" w:eastAsia="zh-CN"/>
        </w:rPr>
        <w:t>选择</w:t>
      </w:r>
      <w:r>
        <w:rPr>
          <w:rFonts w:hint="eastAsia"/>
          <w:highlight w:val="none"/>
        </w:rPr>
        <w:t>公告</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0" w:name="_Toc245379316"/>
      <w:bookmarkStart w:id="1" w:name="_Toc243796160"/>
      <w:bookmarkStart w:id="2" w:name="_Toc344732466"/>
      <w:bookmarkStart w:id="3" w:name="_Toc234382570"/>
      <w:r>
        <w:rPr>
          <w:rFonts w:hint="eastAsia" w:ascii="宋体" w:hAnsi="宋体"/>
          <w:b/>
          <w:sz w:val="24"/>
          <w:highlight w:val="none"/>
        </w:rPr>
        <w:t>1.选择条件</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kern w:val="0"/>
          <w:sz w:val="24"/>
          <w:highlight w:val="none"/>
          <w:u w:val="single"/>
        </w:rPr>
        <w:t>南平建设集团信达供应链有限公司</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钢材</w:t>
      </w:r>
      <w:r>
        <w:rPr>
          <w:rFonts w:hint="eastAsia" w:ascii="宋体" w:hAnsi="宋体"/>
          <w:kern w:val="0"/>
          <w:sz w:val="24"/>
          <w:highlight w:val="none"/>
          <w:u w:val="single"/>
        </w:rPr>
        <w:t>类</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sz w:val="24"/>
          <w:highlight w:val="none"/>
          <w:u w:val="single"/>
          <w:lang w:val="en-US" w:eastAsia="zh-CN"/>
        </w:rPr>
        <w:t>钢材</w:t>
      </w:r>
      <w:r>
        <w:rPr>
          <w:rFonts w:hint="eastAsia" w:ascii="宋体" w:hAnsi="宋体"/>
          <w:sz w:val="24"/>
          <w:highlight w:val="none"/>
          <w:u w:val="single"/>
        </w:rPr>
        <w:t>类</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rPr>
        <w:t>库内</w:t>
      </w:r>
      <w:r>
        <w:rPr>
          <w:rFonts w:hint="eastAsia" w:ascii="宋体" w:hAnsi="宋体"/>
          <w:sz w:val="24"/>
          <w:highlight w:val="none"/>
        </w:rPr>
        <w:t>公开选择。</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4" w:name="_Toc234382571"/>
      <w:bookmarkStart w:id="5" w:name="_Toc344732467"/>
      <w:bookmarkStart w:id="6" w:name="_Toc245379317"/>
      <w:bookmarkStart w:id="7" w:name="_Toc243796161"/>
      <w:r>
        <w:rPr>
          <w:rFonts w:hint="eastAsia" w:ascii="宋体" w:hAnsi="宋体"/>
          <w:b/>
          <w:sz w:val="24"/>
          <w:highlight w:val="none"/>
        </w:rPr>
        <w:t>2.项目概况与选择范围</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2.1  项目的建设地点：</w:t>
      </w:r>
      <w:r>
        <w:rPr>
          <w:rFonts w:hint="eastAsia"/>
          <w:sz w:val="24"/>
          <w:highlight w:val="none"/>
          <w:u w:val="single"/>
        </w:rPr>
        <w:t>浦城县</w:t>
      </w:r>
      <w:r>
        <w:rPr>
          <w:rFonts w:hint="eastAsia"/>
          <w:sz w:val="24"/>
          <w:highlight w:val="none"/>
        </w:rPr>
        <w:t>。</w:t>
      </w:r>
    </w:p>
    <w:p>
      <w:pPr>
        <w:pStyle w:val="2"/>
        <w:pageBreakBefore w:val="0"/>
        <w:kinsoku/>
        <w:wordWrap/>
        <w:overflowPunct/>
        <w:topLinePunct w:val="0"/>
        <w:autoSpaceDE/>
        <w:autoSpaceDN/>
        <w:bidi w:val="0"/>
        <w:adjustRightInd/>
        <w:snapToGrid/>
        <w:spacing w:line="360" w:lineRule="auto"/>
        <w:rPr>
          <w:rFonts w:hint="eastAsia" w:eastAsia="宋体"/>
          <w:highlight w:val="none"/>
          <w:lang w:val="en-US" w:eastAsia="zh-CN"/>
        </w:rPr>
      </w:pPr>
      <w:r>
        <w:rPr>
          <w:rFonts w:hint="eastAsia"/>
          <w:sz w:val="24"/>
          <w:highlight w:val="none"/>
          <w:lang w:val="en-US" w:eastAsia="zh-CN"/>
        </w:rPr>
        <w:t>2.2  项目编号：福晖选择【2024】004号</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rPr>
        <w:t xml:space="preserve">  项目名称</w:t>
      </w:r>
      <w:r>
        <w:rPr>
          <w:rFonts w:hint="eastAsia"/>
          <w:sz w:val="24"/>
          <w:highlight w:val="none"/>
          <w:lang w:eastAsia="zh-CN"/>
        </w:rPr>
        <w:t>：</w:t>
      </w:r>
      <w:r>
        <w:rPr>
          <w:rFonts w:hint="eastAsia"/>
          <w:sz w:val="24"/>
          <w:highlight w:val="none"/>
          <w:u w:val="single"/>
          <w:lang w:eastAsia="zh-CN"/>
        </w:rPr>
        <w:t>浦城县粮食产业公共服务中心建设项目工程</w:t>
      </w:r>
      <w:r>
        <w:rPr>
          <w:rFonts w:hint="eastAsia"/>
          <w:sz w:val="24"/>
          <w:highlight w:val="none"/>
          <w:u w:val="single"/>
          <w:lang w:val="en-US" w:eastAsia="zh-CN"/>
        </w:rPr>
        <w:t>钢材供应商选择</w:t>
      </w:r>
      <w:r>
        <w:rPr>
          <w:rFonts w:hint="eastAsia"/>
          <w:sz w:val="24"/>
          <w:highlight w:val="none"/>
          <w:u w:val="single"/>
        </w:rPr>
        <w:t xml:space="preserve"> </w:t>
      </w:r>
      <w:r>
        <w:rPr>
          <w:rFonts w:hint="eastAsia"/>
          <w:sz w:val="24"/>
          <w:highlight w:val="none"/>
        </w:rPr>
        <w:t>。</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4</w:t>
      </w:r>
      <w:r>
        <w:rPr>
          <w:rFonts w:hint="eastAsia"/>
          <w:sz w:val="24"/>
          <w:highlight w:val="none"/>
        </w:rPr>
        <w:t xml:space="preserve">  本次选择内容：</w:t>
      </w:r>
    </w:p>
    <w:tbl>
      <w:tblPr>
        <w:tblStyle w:val="10"/>
        <w:tblW w:w="10060" w:type="dxa"/>
        <w:jc w:val="center"/>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4"/>
        <w:gridCol w:w="2226"/>
        <w:gridCol w:w="1247"/>
        <w:gridCol w:w="773"/>
        <w:gridCol w:w="1200"/>
        <w:gridCol w:w="2619"/>
        <w:gridCol w:w="1320"/>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 w:type="dxa"/>
          <w:trHeight w:val="610" w:hRule="atLeast"/>
          <w:jc w:val="center"/>
        </w:trPr>
        <w:tc>
          <w:tcPr>
            <w:tcW w:w="674"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rPr>
            </w:pPr>
            <w:r>
              <w:rPr>
                <w:rFonts w:hint="eastAsia" w:ascii="宋体" w:hAnsi="宋体"/>
                <w:sz w:val="24"/>
                <w:szCs w:val="24"/>
                <w:highlight w:val="none"/>
                <w:lang w:val="en-US" w:eastAsia="zh-CN"/>
              </w:rPr>
              <w:t>序号</w:t>
            </w:r>
          </w:p>
        </w:tc>
        <w:tc>
          <w:tcPr>
            <w:tcW w:w="2226"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rPr>
              <w:t>货物名称</w:t>
            </w:r>
          </w:p>
        </w:tc>
        <w:tc>
          <w:tcPr>
            <w:tcW w:w="1247"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品牌</w:t>
            </w:r>
          </w:p>
        </w:tc>
        <w:tc>
          <w:tcPr>
            <w:tcW w:w="773"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单位</w:t>
            </w:r>
          </w:p>
        </w:tc>
        <w:tc>
          <w:tcPr>
            <w:tcW w:w="120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数量</w:t>
            </w:r>
          </w:p>
        </w:tc>
        <w:tc>
          <w:tcPr>
            <w:tcW w:w="2619" w:type="dxa"/>
            <w:noWrap w:val="0"/>
            <w:vAlign w:val="center"/>
          </w:tcPr>
          <w:p>
            <w:pPr>
              <w:widowControl/>
              <w:spacing w:line="240" w:lineRule="auto"/>
              <w:ind w:firstLine="0" w:firstLineChars="0"/>
              <w:jc w:val="center"/>
              <w:textAlignment w:val="center"/>
              <w:rPr>
                <w:rFonts w:ascii="宋体" w:hAnsi="宋体" w:cs="宋体"/>
                <w:color w:val="auto"/>
                <w:sz w:val="24"/>
                <w:szCs w:val="24"/>
                <w:highlight w:val="none"/>
                <w:lang w:val="en-US"/>
              </w:rPr>
            </w:pPr>
            <w:r>
              <w:rPr>
                <w:rFonts w:ascii="宋体" w:hAnsi="宋体" w:cs="宋体"/>
                <w:color w:val="auto"/>
                <w:sz w:val="24"/>
                <w:szCs w:val="24"/>
                <w:highlight w:val="none"/>
                <w:lang w:val="en-US"/>
              </w:rPr>
              <w:t>最高单价</w:t>
            </w:r>
          </w:p>
          <w:p>
            <w:pPr>
              <w:widowControl/>
              <w:spacing w:line="240" w:lineRule="auto"/>
              <w:ind w:firstLine="0" w:firstLineChars="0"/>
              <w:jc w:val="center"/>
              <w:textAlignment w:val="center"/>
              <w:rPr>
                <w:rFonts w:hint="eastAsia" w:ascii="宋体" w:hAnsi="宋体" w:eastAsia="宋体"/>
                <w:sz w:val="24"/>
                <w:szCs w:val="24"/>
                <w:highlight w:val="none"/>
                <w:lang w:val="en-US" w:eastAsia="zh-CN"/>
              </w:rPr>
            </w:pPr>
            <w:r>
              <w:rPr>
                <w:rFonts w:ascii="宋体" w:hAnsi="宋体" w:cs="宋体"/>
                <w:color w:val="auto"/>
                <w:sz w:val="24"/>
                <w:szCs w:val="24"/>
                <w:highlight w:val="none"/>
                <w:lang w:val="en-US"/>
              </w:rPr>
              <w:t>限价</w:t>
            </w:r>
          </w:p>
        </w:tc>
        <w:tc>
          <w:tcPr>
            <w:tcW w:w="132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供货服务</w:t>
            </w:r>
          </w:p>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 w:type="dxa"/>
          <w:trHeight w:val="1038" w:hRule="atLeast"/>
          <w:jc w:val="center"/>
        </w:trPr>
        <w:tc>
          <w:tcPr>
            <w:tcW w:w="674" w:type="dxa"/>
            <w:noWrap w:val="0"/>
            <w:vAlign w:val="center"/>
          </w:tcPr>
          <w:p>
            <w:pPr>
              <w:keepNext w:val="0"/>
              <w:keepLines w:val="0"/>
              <w:widowControl/>
              <w:suppressLineNumbers w:val="0"/>
              <w:jc w:val="center"/>
              <w:textAlignment w:val="center"/>
              <w:rPr>
                <w:rFonts w:hint="eastAsia" w:ascii="宋体" w:hAnsi="宋体" w:eastAsia="宋体" w:cs="宋体"/>
                <w:bCs/>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226" w:type="dxa"/>
            <w:noWrap w:val="0"/>
            <w:vAlign w:val="center"/>
          </w:tcPr>
          <w:p>
            <w:pPr>
              <w:pStyle w:val="11"/>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hint="eastAsia" w:ascii="宋体" w:hAnsi="宋体" w:eastAsia="宋体"/>
                <w:sz w:val="24"/>
                <w:szCs w:val="24"/>
                <w:highlight w:val="none"/>
                <w:lang w:val="en-US" w:eastAsia="zh-CN"/>
              </w:rPr>
            </w:pPr>
            <w:r>
              <w:rPr>
                <w:rFonts w:hint="eastAsia" w:eastAsia="宋体" w:cs="宋体"/>
                <w:color w:val="auto"/>
                <w:sz w:val="24"/>
                <w:szCs w:val="24"/>
                <w:highlight w:val="none"/>
                <w:lang w:val="en-US"/>
              </w:rPr>
              <w:t>高线</w:t>
            </w:r>
            <w:r>
              <w:rPr>
                <w:rFonts w:ascii="宋体" w:hAnsi="宋体" w:cs="宋体"/>
                <w:color w:val="auto"/>
                <w:spacing w:val="2"/>
                <w:sz w:val="24"/>
                <w:szCs w:val="24"/>
                <w:highlight w:val="none"/>
              </w:rPr>
              <w:t>HPB300</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6</w:t>
            </w:r>
            <w:r>
              <w:rPr>
                <w:rFonts w:hint="eastAsia" w:cs="宋体"/>
                <w:color w:val="auto"/>
                <w:sz w:val="24"/>
                <w:szCs w:val="24"/>
                <w:highlight w:val="none"/>
                <w:lang w:val="en-US" w:eastAsia="zh-CN"/>
              </w:rPr>
              <w:t>-</w:t>
            </w:r>
            <w:r>
              <w:rPr>
                <w:rFonts w:hint="eastAsia" w:ascii="仿宋" w:hAnsi="仿宋" w:eastAsia="仿宋" w:cs="仿宋"/>
                <w:color w:val="000000"/>
                <w:sz w:val="24"/>
                <w:szCs w:val="24"/>
                <w:highlight w:val="none"/>
              </w:rPr>
              <w:t>Φ</w:t>
            </w:r>
            <w:r>
              <w:rPr>
                <w:rFonts w:hint="eastAsia" w:cs="宋体"/>
                <w:color w:val="auto"/>
                <w:sz w:val="24"/>
                <w:szCs w:val="24"/>
                <w:highlight w:val="none"/>
                <w:lang w:val="en-US" w:eastAsia="zh-CN"/>
              </w:rPr>
              <w:t>10</w:t>
            </w:r>
          </w:p>
        </w:tc>
        <w:tc>
          <w:tcPr>
            <w:tcW w:w="1247" w:type="dxa"/>
            <w:vMerge w:val="restart"/>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承诺人可选择</w:t>
            </w:r>
            <w:r>
              <w:rPr>
                <w:rFonts w:hint="eastAsia" w:ascii="宋体" w:hAnsi="宋体"/>
                <w:sz w:val="24"/>
                <w:szCs w:val="24"/>
                <w:highlight w:val="none"/>
              </w:rPr>
              <w:t>三钢</w:t>
            </w:r>
            <w:r>
              <w:rPr>
                <w:rFonts w:hint="eastAsia" w:ascii="宋体" w:hAnsi="宋体"/>
                <w:sz w:val="24"/>
                <w:szCs w:val="24"/>
                <w:highlight w:val="none"/>
                <w:lang w:eastAsia="zh-CN"/>
              </w:rPr>
              <w:t>、</w:t>
            </w:r>
            <w:r>
              <w:rPr>
                <w:rFonts w:hint="eastAsia" w:ascii="宋体" w:hAnsi="宋体"/>
                <w:sz w:val="24"/>
                <w:szCs w:val="24"/>
                <w:highlight w:val="none"/>
                <w:lang w:val="en-US" w:eastAsia="zh-CN"/>
              </w:rPr>
              <w:t>鞍钢、宝钢三个品牌中一个品牌进行报价</w:t>
            </w:r>
          </w:p>
        </w:tc>
        <w:tc>
          <w:tcPr>
            <w:tcW w:w="773" w:type="dxa"/>
            <w:vMerge w:val="restart"/>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吨</w:t>
            </w:r>
          </w:p>
        </w:tc>
        <w:tc>
          <w:tcPr>
            <w:tcW w:w="1200" w:type="dxa"/>
            <w:vMerge w:val="restart"/>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rPr>
            </w:pPr>
            <w:r>
              <w:rPr>
                <w:rFonts w:hint="eastAsia" w:ascii="宋体" w:hAnsi="宋体" w:eastAsia="宋体" w:cs="宋体"/>
                <w:i w:val="0"/>
                <w:color w:val="000000"/>
                <w:kern w:val="0"/>
                <w:sz w:val="24"/>
                <w:szCs w:val="24"/>
                <w:u w:val="none"/>
                <w:lang w:val="en-US" w:eastAsia="zh-CN" w:bidi="ar"/>
              </w:rPr>
              <w:t>2005.284</w:t>
            </w:r>
          </w:p>
        </w:tc>
        <w:tc>
          <w:tcPr>
            <w:tcW w:w="261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以《我的钢铁网》2024年7月15日第一次发布的福建省福州市场“三钢闽光”建筑钢材的信息价作为基准价上浮20元/吨</w:t>
            </w:r>
          </w:p>
        </w:tc>
        <w:tc>
          <w:tcPr>
            <w:tcW w:w="132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shd w:val="clear" w:color="auto" w:fill="FFFFFF"/>
              </w:rPr>
              <w:t>从供货合同签订之日起至项目完工止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 w:type="dxa"/>
          <w:trHeight w:val="667" w:hRule="atLeast"/>
          <w:jc w:val="center"/>
        </w:trPr>
        <w:tc>
          <w:tcPr>
            <w:tcW w:w="674" w:type="dxa"/>
            <w:noWrap w:val="0"/>
            <w:vAlign w:val="center"/>
          </w:tcPr>
          <w:p>
            <w:pPr>
              <w:keepNext w:val="0"/>
              <w:keepLines w:val="0"/>
              <w:widowControl/>
              <w:suppressLineNumbers w:val="0"/>
              <w:jc w:val="center"/>
              <w:textAlignment w:val="center"/>
              <w:rPr>
                <w:rFonts w:hint="eastAsia" w:ascii="宋体" w:hAnsi="宋体" w:eastAsia="宋体" w:cs="宋体"/>
                <w:bCs/>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2</w:t>
            </w:r>
          </w:p>
        </w:tc>
        <w:tc>
          <w:tcPr>
            <w:tcW w:w="2226" w:type="dxa"/>
            <w:noWrap w:val="0"/>
            <w:vAlign w:val="center"/>
          </w:tcPr>
          <w:p>
            <w:pPr>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hint="eastAsia" w:eastAsia="仿宋" w:cs="宋体"/>
                <w:color w:val="auto"/>
                <w:sz w:val="24"/>
                <w:szCs w:val="24"/>
                <w:highlight w:val="none"/>
                <w:lang w:val="en-US" w:eastAsia="zh-CN"/>
              </w:rPr>
            </w:pPr>
            <w:r>
              <w:rPr>
                <w:rFonts w:hint="eastAsia" w:eastAsia="宋体" w:cs="宋体"/>
                <w:color w:val="auto"/>
                <w:sz w:val="24"/>
                <w:szCs w:val="24"/>
                <w:highlight w:val="none"/>
                <w:lang w:val="en-US"/>
              </w:rPr>
              <w:t>螺纹钢</w:t>
            </w:r>
            <w:r>
              <w:rPr>
                <w:rFonts w:ascii="宋体" w:hAnsi="宋体" w:cs="宋体"/>
                <w:color w:val="auto"/>
                <w:spacing w:val="4"/>
                <w:sz w:val="24"/>
                <w:szCs w:val="24"/>
                <w:highlight w:val="none"/>
              </w:rPr>
              <w:t>HRB400E</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r>
              <w:rPr>
                <w:rFonts w:hint="eastAsia" w:eastAsia="宋体" w:cs="宋体"/>
                <w:color w:val="auto"/>
                <w:sz w:val="24"/>
                <w:szCs w:val="24"/>
                <w:highlight w:val="none"/>
                <w:lang w:val="en-US" w:eastAsia="zh-CN"/>
              </w:rPr>
              <w:t>-</w:t>
            </w:r>
            <w:r>
              <w:rPr>
                <w:rFonts w:hint="eastAsia" w:ascii="仿宋" w:hAnsi="仿宋" w:eastAsia="仿宋" w:cs="仿宋"/>
                <w:color w:val="000000"/>
                <w:sz w:val="24"/>
                <w:szCs w:val="24"/>
                <w:highlight w:val="none"/>
              </w:rPr>
              <w:t>Φ</w:t>
            </w:r>
            <w:r>
              <w:rPr>
                <w:rFonts w:hint="eastAsia" w:ascii="仿宋" w:hAnsi="仿宋" w:eastAsia="仿宋" w:cs="仿宋"/>
                <w:color w:val="000000"/>
                <w:sz w:val="24"/>
                <w:szCs w:val="24"/>
                <w:highlight w:val="none"/>
                <w:lang w:val="en-US" w:eastAsia="zh-CN"/>
              </w:rPr>
              <w:t>32</w:t>
            </w:r>
          </w:p>
        </w:tc>
        <w:tc>
          <w:tcPr>
            <w:tcW w:w="1247"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rPr>
            </w:pPr>
          </w:p>
        </w:tc>
        <w:tc>
          <w:tcPr>
            <w:tcW w:w="773"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1200" w:type="dxa"/>
            <w:vMerge w:val="continue"/>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p>
        </w:tc>
        <w:tc>
          <w:tcPr>
            <w:tcW w:w="261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2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10060" w:type="dxa"/>
            <w:gridSpan w:val="8"/>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sz w:val="24"/>
                <w:szCs w:val="24"/>
                <w:lang w:val="en-US" w:eastAsia="zh-CN"/>
              </w:rPr>
            </w:pPr>
            <w:r>
              <w:rPr>
                <w:rFonts w:hint="eastAsia"/>
                <w:sz w:val="24"/>
                <w:szCs w:val="24"/>
                <w:lang w:val="en-US" w:eastAsia="zh-CN"/>
              </w:rPr>
              <w:t>以上的供货数量为估值，合同执行期间内，具体供货规格型号、等级及数量以招选人下单为准，供货方应无条件满足要求。</w:t>
            </w:r>
          </w:p>
          <w:p>
            <w:pPr>
              <w:pStyle w:val="2"/>
              <w:keepNext w:val="0"/>
              <w:keepLines w:val="0"/>
              <w:pageBreakBefore w:val="0"/>
              <w:numPr>
                <w:ilvl w:val="0"/>
                <w:numId w:val="1"/>
              </w:numPr>
              <w:kinsoku/>
              <w:wordWrap/>
              <w:overflowPunct/>
              <w:topLinePunct w:val="0"/>
              <w:autoSpaceDE/>
              <w:autoSpaceDN/>
              <w:bidi w:val="0"/>
              <w:adjustRightInd/>
              <w:snapToGrid/>
              <w:spacing w:line="360" w:lineRule="auto"/>
              <w:rPr>
                <w:rFonts w:hint="eastAsia"/>
                <w:sz w:val="24"/>
                <w:szCs w:val="24"/>
                <w:highlight w:val="none"/>
                <w:lang w:val="en-US" w:eastAsia="zh-CN"/>
              </w:rPr>
            </w:pPr>
            <w:r>
              <w:rPr>
                <w:rFonts w:hint="eastAsia"/>
                <w:color w:val="FF0000"/>
                <w:sz w:val="24"/>
                <w:szCs w:val="24"/>
                <w:highlight w:val="none"/>
                <w:lang w:val="en-US" w:eastAsia="zh-CN"/>
              </w:rPr>
              <w:t>承诺人的承诺报价为统一单价下浮值，否则按无效承诺文件处理</w:t>
            </w:r>
            <w:r>
              <w:rPr>
                <w:rFonts w:hint="eastAsia"/>
                <w:sz w:val="24"/>
                <w:szCs w:val="24"/>
                <w:highlight w:val="none"/>
                <w:lang w:val="en-US" w:eastAsia="zh-CN"/>
              </w:rPr>
              <w:t>。</w:t>
            </w:r>
          </w:p>
          <w:p>
            <w:pPr>
              <w:pStyle w:val="2"/>
              <w:keepNext w:val="0"/>
              <w:keepLines w:val="0"/>
              <w:pageBreakBefore w:val="0"/>
              <w:numPr>
                <w:ilvl w:val="0"/>
                <w:numId w:val="1"/>
              </w:numPr>
              <w:kinsoku/>
              <w:wordWrap/>
              <w:overflowPunct/>
              <w:topLinePunct w:val="0"/>
              <w:autoSpaceDE/>
              <w:autoSpaceDN/>
              <w:bidi w:val="0"/>
              <w:adjustRightInd/>
              <w:snapToGrid/>
              <w:spacing w:line="360" w:lineRule="auto"/>
              <w:rPr>
                <w:rFonts w:hint="eastAsia"/>
                <w:lang w:val="en-US" w:eastAsia="zh-CN"/>
              </w:rPr>
            </w:pPr>
            <w:r>
              <w:rPr>
                <w:rFonts w:hint="eastAsia"/>
                <w:sz w:val="24"/>
                <w:szCs w:val="24"/>
                <w:highlight w:val="none"/>
                <w:lang w:val="en-US" w:eastAsia="zh-CN"/>
              </w:rPr>
              <w:t>承诺报价包括但不限于：物资款、运输费、装车费（不含卸车费）</w:t>
            </w:r>
            <w:r>
              <w:rPr>
                <w:rFonts w:hint="eastAsia"/>
                <w:sz w:val="24"/>
                <w:szCs w:val="24"/>
                <w:lang w:val="en-US" w:eastAsia="zh-CN"/>
              </w:rPr>
              <w:t>、管理费、利润、风险以及乙方因出售该物资应缴纳的一切税费等全部费用。</w:t>
            </w:r>
          </w:p>
        </w:tc>
      </w:tr>
    </w:tbl>
    <w:p>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b/>
          <w:sz w:val="24"/>
          <w:highlight w:val="none"/>
          <w:lang w:val="en-US" w:eastAsia="zh-CN"/>
        </w:rPr>
      </w:pPr>
      <w:bookmarkStart w:id="8" w:name="_Toc234382572"/>
      <w:bookmarkStart w:id="9" w:name="_Toc243796162"/>
      <w:bookmarkStart w:id="10" w:name="_Toc344732468"/>
      <w:bookmarkStart w:id="11" w:name="_Toc245379318"/>
      <w:r>
        <w:rPr>
          <w:rFonts w:hint="eastAsia" w:ascii="宋体" w:hAnsi="宋体"/>
          <w:b/>
          <w:sz w:val="24"/>
          <w:highlight w:val="none"/>
        </w:rPr>
        <w:t>3.资格要求</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480" w:firstLineChars="200"/>
        <w:rPr>
          <w:sz w:val="24"/>
          <w:highlight w:val="none"/>
        </w:rPr>
      </w:pPr>
      <w:r>
        <w:rPr>
          <w:rFonts w:hint="eastAsia"/>
          <w:sz w:val="24"/>
          <w:highlight w:val="none"/>
        </w:rPr>
        <w:t>3.1 本次选择要求承诺人须具备以下条件：</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集团有限公司贸易类大宗物资供应商名录库</w:t>
      </w:r>
      <w:r>
        <w:rPr>
          <w:rFonts w:hint="eastAsia"/>
          <w:sz w:val="24"/>
          <w:highlight w:val="none"/>
          <w:lang w:val="en-US" w:eastAsia="zh-CN"/>
        </w:rPr>
        <w:t>内</w:t>
      </w:r>
      <w:r>
        <w:rPr>
          <w:rFonts w:hint="eastAsia"/>
          <w:sz w:val="24"/>
          <w:highlight w:val="none"/>
        </w:rPr>
        <w:t>的</w:t>
      </w:r>
      <w:r>
        <w:rPr>
          <w:rFonts w:hint="eastAsia" w:ascii="宋体" w:hAnsi="宋体"/>
          <w:kern w:val="0"/>
          <w:sz w:val="24"/>
          <w:highlight w:val="none"/>
          <w:u w:val="single"/>
          <w:lang w:val="en-US" w:eastAsia="zh-CN"/>
        </w:rPr>
        <w:t>钢材类</w:t>
      </w:r>
      <w:r>
        <w:rPr>
          <w:rFonts w:hint="eastAsia" w:ascii="宋体" w:hAnsi="宋体"/>
          <w:kern w:val="0"/>
          <w:sz w:val="24"/>
          <w:highlight w:val="none"/>
          <w:u w:val="none"/>
          <w:lang w:val="en-US" w:eastAsia="zh-CN"/>
        </w:rPr>
        <w:t>供应商</w:t>
      </w:r>
      <w:r>
        <w:rPr>
          <w:rFonts w:hint="eastAsia"/>
          <w:sz w:val="24"/>
          <w:highlight w:val="none"/>
        </w:rPr>
        <w:t>。</w:t>
      </w:r>
      <w:r>
        <w:rPr>
          <w:rFonts w:hint="eastAsia" w:ascii="宋体" w:hAnsi="宋体"/>
          <w:sz w:val="24"/>
          <w:highlight w:val="none"/>
        </w:rPr>
        <w:t>具有有效的营业执照</w:t>
      </w:r>
      <w:r>
        <w:rPr>
          <w:rFonts w:hint="eastAsia" w:ascii="宋体" w:hAnsi="宋体"/>
          <w:sz w:val="24"/>
          <w:highlight w:val="none"/>
          <w:lang w:eastAsia="zh-CN"/>
        </w:rPr>
        <w:t>。</w:t>
      </w:r>
    </w:p>
    <w:p>
      <w:pPr>
        <w:pStyle w:val="7"/>
        <w:pageBreakBefore w:val="0"/>
        <w:kinsoku/>
        <w:wordWrap/>
        <w:overflowPunct/>
        <w:topLinePunct w:val="0"/>
        <w:autoSpaceDE/>
        <w:autoSpaceDN/>
        <w:bidi w:val="0"/>
        <w:adjustRightInd/>
        <w:snapToGrid/>
        <w:spacing w:before="0" w:beforeLines="0" w:after="0" w:afterLines="0" w:line="360" w:lineRule="auto"/>
        <w:ind w:left="0" w:leftChars="0" w:firstLine="480"/>
        <w:rPr>
          <w:rFonts w:hint="eastAsia"/>
          <w:sz w:val="24"/>
          <w:highlight w:val="none"/>
        </w:rPr>
      </w:pPr>
      <w:r>
        <w:rPr>
          <w:rFonts w:hint="eastAsia"/>
          <w:sz w:val="24"/>
          <w:highlight w:val="none"/>
        </w:rPr>
        <w:t>3.</w:t>
      </w:r>
      <w:r>
        <w:rPr>
          <w:rFonts w:hint="eastAsia"/>
          <w:sz w:val="24"/>
          <w:highlight w:val="none"/>
          <w:lang w:val="en-US" w:eastAsia="zh-CN"/>
        </w:rPr>
        <w:t>2</w:t>
      </w:r>
      <w:r>
        <w:rPr>
          <w:rFonts w:hint="eastAsia"/>
          <w:sz w:val="24"/>
          <w:highlight w:val="none"/>
        </w:rPr>
        <w:t>不得是南平武夷发展集团有限公司、下属子公司在册的黑名单</w:t>
      </w:r>
      <w:r>
        <w:rPr>
          <w:rFonts w:hint="eastAsia"/>
          <w:sz w:val="24"/>
          <w:highlight w:val="none"/>
          <w:lang w:val="en-US" w:eastAsia="zh-CN"/>
        </w:rPr>
        <w:t>供应商。</w:t>
      </w:r>
    </w:p>
    <w:p>
      <w:pPr>
        <w:pageBreakBefore w:val="0"/>
        <w:kinsoku/>
        <w:wordWrap/>
        <w:overflowPunct/>
        <w:topLinePunct w:val="0"/>
        <w:autoSpaceDE/>
        <w:autoSpaceDN/>
        <w:bidi w:val="0"/>
        <w:adjustRightInd/>
        <w:snapToGrid/>
        <w:spacing w:line="360" w:lineRule="auto"/>
        <w:ind w:firstLine="484" w:firstLineChars="202"/>
        <w:jc w:val="left"/>
        <w:rPr>
          <w:rFonts w:hint="eastAsia"/>
          <w:sz w:val="24"/>
          <w:highlight w:val="none"/>
        </w:rPr>
      </w:pPr>
      <w:r>
        <w:rPr>
          <w:rFonts w:hint="eastAsia"/>
          <w:sz w:val="24"/>
          <w:highlight w:val="none"/>
        </w:rPr>
        <w:t>不得是在“信用中国”网站（www.creditchina.gov.cn）列入失信被执行人名单；</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承诺人不得处于被责令停业，财产被接管、冻结、破产状态；承诺人应商业信誉良好，近三年内在经济活动中无重大违法行为。</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bookmarkStart w:id="12" w:name="_Toc243796163"/>
      <w:bookmarkStart w:id="13" w:name="_Toc234382573"/>
      <w:bookmarkStart w:id="14" w:name="_Toc344732469"/>
      <w:bookmarkStart w:id="15" w:name="_Toc245379319"/>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pPr>
        <w:pageBreakBefore w:val="0"/>
        <w:kinsoku/>
        <w:wordWrap/>
        <w:overflowPunct/>
        <w:topLinePunct w:val="0"/>
        <w:autoSpaceDE/>
        <w:autoSpaceDN/>
        <w:bidi w:val="0"/>
        <w:adjustRightInd/>
        <w:snapToGrid/>
        <w:spacing w:line="360" w:lineRule="auto"/>
        <w:ind w:firstLine="484" w:firstLineChars="202"/>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3.5本次选择接受代理商或经销商。代理商、经销商参加的，必须持有</w:t>
      </w:r>
      <w:r>
        <w:rPr>
          <w:rFonts w:hint="eastAsia" w:ascii="宋体" w:hAnsi="宋体" w:eastAsia="宋体"/>
          <w:sz w:val="24"/>
          <w:szCs w:val="24"/>
          <w:highlight w:val="none"/>
          <w:lang w:val="en-US" w:eastAsia="zh-CN"/>
        </w:rPr>
        <w:t>所投产品品牌</w:t>
      </w:r>
      <w:r>
        <w:rPr>
          <w:rFonts w:hint="eastAsia" w:ascii="Times New Roman" w:hAnsi="Times New Roman" w:eastAsia="宋体" w:cs="Times New Roman"/>
          <w:sz w:val="24"/>
          <w:highlight w:val="none"/>
          <w:lang w:val="en-US" w:eastAsia="zh-CN"/>
        </w:rPr>
        <w:t>生产厂家出具的授权函或经销证明。</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4.选择文件的获取</w:t>
      </w:r>
      <w:bookmarkEnd w:id="12"/>
      <w:bookmarkEnd w:id="13"/>
      <w:bookmarkEnd w:id="14"/>
      <w:bookmarkEnd w:id="15"/>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4.1凡有意参加选择者，请于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 xml:space="preserve"> 7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22 </w:t>
      </w:r>
      <w:r>
        <w:rPr>
          <w:rFonts w:hint="eastAsia" w:ascii="宋体" w:hAnsi="宋体" w:eastAsia="宋体" w:cs="Times New Roman"/>
          <w:color w:val="auto"/>
          <w:sz w:val="24"/>
          <w:highlight w:val="none"/>
          <w:u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 xml:space="preserve"> 7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25 </w:t>
      </w:r>
      <w:r>
        <w:rPr>
          <w:rFonts w:hint="eastAsia" w:ascii="宋体" w:hAnsi="宋体"/>
          <w:sz w:val="24"/>
          <w:highlight w:val="none"/>
        </w:rPr>
        <w:t xml:space="preserve">日（工作时间）到 </w:t>
      </w:r>
      <w:r>
        <w:rPr>
          <w:rFonts w:hint="eastAsia" w:ascii="宋体" w:hAnsi="宋体"/>
          <w:sz w:val="24"/>
          <w:highlight w:val="none"/>
          <w:u w:val="single"/>
        </w:rPr>
        <w:t xml:space="preserve">福建晖源工程咨询有限公司  </w:t>
      </w:r>
      <w:r>
        <w:rPr>
          <w:rFonts w:hint="eastAsia" w:ascii="宋体" w:hAnsi="宋体"/>
          <w:sz w:val="24"/>
          <w:highlight w:val="none"/>
          <w:u w:val="single"/>
          <w:lang w:val="en-US" w:eastAsia="zh-CN"/>
        </w:rPr>
        <w:t>（</w:t>
      </w:r>
      <w:r>
        <w:rPr>
          <w:rFonts w:hint="eastAsia" w:ascii="宋体" w:hAnsi="宋体"/>
          <w:sz w:val="24"/>
          <w:highlight w:val="none"/>
          <w:u w:val="single"/>
        </w:rPr>
        <w:t>地址：福建省南平市建阳区顺昌街213号祥乐苑15幢一层</w:t>
      </w:r>
      <w:r>
        <w:rPr>
          <w:rFonts w:hint="eastAsia" w:ascii="宋体" w:hAnsi="宋体"/>
          <w:sz w:val="24"/>
          <w:highlight w:val="none"/>
          <w:u w:val="single"/>
          <w:lang w:val="zh-CN"/>
        </w:rPr>
        <w:t>）</w:t>
      </w:r>
      <w:r>
        <w:rPr>
          <w:rFonts w:hint="eastAsia" w:ascii="宋体" w:hAnsi="宋体"/>
          <w:sz w:val="24"/>
          <w:highlight w:val="none"/>
          <w:u w:val="single"/>
        </w:rPr>
        <w:t xml:space="preserve"> </w:t>
      </w:r>
      <w:r>
        <w:rPr>
          <w:rFonts w:hint="eastAsia" w:ascii="宋体" w:hAnsi="宋体"/>
          <w:sz w:val="24"/>
          <w:highlight w:val="none"/>
        </w:rPr>
        <w:t>报名并购买选择文件，费用</w:t>
      </w:r>
      <w:r>
        <w:rPr>
          <w:rFonts w:hint="eastAsia" w:ascii="宋体" w:hAnsi="宋体"/>
          <w:sz w:val="24"/>
          <w:highlight w:val="none"/>
          <w:u w:val="single"/>
          <w:lang w:val="en-US" w:eastAsia="zh-CN"/>
        </w:rPr>
        <w:t>300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刘女士</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电话：0599-5622667，过期不售，售后不退。报名时须持以下资料：</w:t>
      </w:r>
    </w:p>
    <w:p>
      <w:pPr>
        <w:pStyle w:val="2"/>
        <w:pageBreakBefore w:val="0"/>
        <w:kinsoku/>
        <w:wordWrap/>
        <w:overflowPunct/>
        <w:topLinePunct w:val="0"/>
        <w:autoSpaceDE/>
        <w:autoSpaceDN/>
        <w:bidi w:val="0"/>
        <w:adjustRightInd/>
        <w:snapToGrid/>
        <w:spacing w:line="360" w:lineRule="auto"/>
        <w:ind w:left="0" w:leftChars="0" w:firstLine="480" w:firstLineChars="200"/>
        <w:rPr>
          <w:rFonts w:hint="eastAsia" w:eastAsia="宋体"/>
          <w:highlight w:val="none"/>
          <w:lang w:val="en-US" w:eastAsia="zh-CN"/>
        </w:rPr>
      </w:pPr>
      <w:r>
        <w:rPr>
          <w:rFonts w:hint="eastAsia" w:ascii="宋体" w:hAnsi="宋体"/>
          <w:sz w:val="24"/>
          <w:highlight w:val="none"/>
          <w:lang w:val="en-US" w:eastAsia="zh-CN"/>
        </w:rPr>
        <w:t>（1）营业执照复印件</w:t>
      </w:r>
      <w:r>
        <w:rPr>
          <w:rFonts w:hint="eastAsia" w:ascii="宋体" w:hAnsi="宋体"/>
          <w:sz w:val="24"/>
          <w:highlight w:val="none"/>
        </w:rPr>
        <w:t>（加盖单位公章）</w:t>
      </w:r>
      <w:r>
        <w:rPr>
          <w:rFonts w:hint="eastAsia" w:ascii="宋体" w:hAnsi="宋体"/>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）法定代表人身份证明和身份证复印件及原件或其授权委托书、被授权人</w:t>
      </w:r>
      <w:r>
        <w:rPr>
          <w:rFonts w:hint="eastAsia"/>
          <w:sz w:val="24"/>
          <w:highlight w:val="none"/>
        </w:rPr>
        <w:t>的</w:t>
      </w:r>
      <w:r>
        <w:rPr>
          <w:rFonts w:hint="eastAsia" w:ascii="宋体" w:hAnsi="宋体"/>
          <w:sz w:val="24"/>
          <w:highlight w:val="none"/>
        </w:rPr>
        <w:t>身份证复印件（加盖单位公章）和原件。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）未按要求提供上述资料的，选择人有权拒绝其报名。</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pPr>
        <w:pageBreakBefore w:val="0"/>
        <w:tabs>
          <w:tab w:val="left" w:pos="360"/>
        </w:tabs>
        <w:kinsoku/>
        <w:wordWrap/>
        <w:overflowPunct/>
        <w:topLinePunct w:val="0"/>
        <w:autoSpaceDE/>
        <w:autoSpaceDN/>
        <w:bidi w:val="0"/>
        <w:adjustRightInd/>
        <w:snapToGrid/>
        <w:spacing w:line="360" w:lineRule="auto"/>
        <w:ind w:left="239" w:leftChars="114" w:firstLine="240" w:firstLineChars="10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 xml:space="preserve"> 7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22 </w:t>
      </w:r>
      <w:r>
        <w:rPr>
          <w:rFonts w:hint="eastAsia" w:ascii="宋体" w:hAnsi="宋体" w:eastAsia="宋体" w:cs="Times New Roman"/>
          <w:color w:val="auto"/>
          <w:sz w:val="24"/>
          <w:highlight w:val="none"/>
          <w:u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 xml:space="preserve"> 7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25 </w:t>
      </w:r>
      <w:r>
        <w:rPr>
          <w:rFonts w:hint="eastAsia" w:ascii="宋体" w:hAnsi="宋体" w:eastAsia="宋体" w:cs="Times New Roman"/>
          <w:color w:val="auto"/>
          <w:sz w:val="24"/>
          <w:highlight w:val="none"/>
          <w:u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sz w:val="24"/>
          <w:highlight w:val="none"/>
          <w:u w:val="single"/>
          <w:lang w:val="en-US" w:eastAsia="zh-CN"/>
        </w:rPr>
        <w:t>钢材供应商</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pStyle w:val="2"/>
        <w:pageBreakBefore w:val="0"/>
        <w:kinsoku/>
        <w:wordWrap/>
        <w:overflowPunct/>
        <w:topLinePunct w:val="0"/>
        <w:autoSpaceDE/>
        <w:autoSpaceDN/>
        <w:bidi w:val="0"/>
        <w:adjustRightInd/>
        <w:snapToGrid/>
        <w:spacing w:line="360" w:lineRule="auto"/>
        <w:rPr>
          <w:rFonts w:hint="default"/>
          <w:highlight w:val="none"/>
          <w:lang w:val="en-US" w:eastAsia="zh-CN"/>
        </w:rPr>
      </w:pPr>
      <w:r>
        <w:rPr>
          <w:rFonts w:hint="eastAsia" w:ascii="宋体" w:hAnsi="宋体" w:eastAsia="宋体" w:cs="Times New Roman"/>
          <w:color w:val="auto"/>
          <w:kern w:val="0"/>
          <w:sz w:val="24"/>
          <w:highlight w:val="none"/>
          <w:u w:val="none"/>
          <w:lang w:val="en-US" w:eastAsia="zh-CN"/>
        </w:rPr>
        <w:t>（1）</w:t>
      </w:r>
      <w:r>
        <w:rPr>
          <w:rFonts w:hint="eastAsia" w:ascii="宋体" w:hAnsi="宋体"/>
          <w:sz w:val="24"/>
          <w:highlight w:val="none"/>
          <w:lang w:val="en-US" w:eastAsia="zh-CN"/>
        </w:rPr>
        <w:t>营业执照复印件</w:t>
      </w:r>
      <w:r>
        <w:rPr>
          <w:rFonts w:hint="eastAsia" w:ascii="宋体" w:hAnsi="宋体"/>
          <w:sz w:val="24"/>
          <w:highlight w:val="none"/>
        </w:rPr>
        <w:t>（加盖单位公章）</w:t>
      </w:r>
      <w:r>
        <w:rPr>
          <w:rFonts w:hint="eastAsia" w:ascii="宋体" w:hAnsi="宋体"/>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pPr>
        <w:pStyle w:val="2"/>
        <w:pageBreakBefore w:val="0"/>
        <w:kinsoku/>
        <w:wordWrap/>
        <w:overflowPunct/>
        <w:topLinePunct w:val="0"/>
        <w:autoSpaceDE/>
        <w:autoSpaceDN/>
        <w:bidi w:val="0"/>
        <w:adjustRightInd/>
        <w:snapToGrid/>
        <w:spacing w:line="360" w:lineRule="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（3）转账记录凭证</w:t>
      </w:r>
      <w:r>
        <w:rPr>
          <w:rFonts w:hint="eastAsia" w:ascii="宋体" w:hAnsi="宋体"/>
          <w:sz w:val="24"/>
          <w:highlight w:val="none"/>
        </w:rPr>
        <w:t>（加盖单位公章）</w:t>
      </w:r>
      <w:r>
        <w:rPr>
          <w:rFonts w:hint="eastAsia" w:ascii="宋体" w:hAnsi="宋体" w:eastAsia="宋体" w:cs="Times New Roman"/>
          <w:color w:val="auto"/>
          <w:sz w:val="24"/>
          <w:highlight w:val="none"/>
          <w:u w:val="none"/>
          <w:lang w:val="en-US" w:eastAsia="zh-CN"/>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16" w:name="_Toc234382574"/>
      <w:bookmarkStart w:id="17" w:name="_Toc344732470"/>
      <w:bookmarkStart w:id="18" w:name="_Toc243796164"/>
      <w:bookmarkStart w:id="19" w:name="_Toc245379320"/>
      <w:r>
        <w:rPr>
          <w:rFonts w:hint="eastAsia" w:ascii="宋体" w:hAnsi="宋体"/>
          <w:b/>
          <w:sz w:val="24"/>
          <w:highlight w:val="none"/>
        </w:rPr>
        <w:t>5.</w:t>
      </w:r>
      <w:r>
        <w:rPr>
          <w:rFonts w:hint="eastAsia" w:ascii="宋体" w:hAnsi="宋体"/>
          <w:b/>
          <w:sz w:val="24"/>
          <w:highlight w:val="none"/>
          <w:lang w:val="en-US" w:eastAsia="zh-CN"/>
        </w:rPr>
        <w:t>选择</w:t>
      </w:r>
      <w:r>
        <w:rPr>
          <w:rFonts w:hint="eastAsia" w:ascii="宋体" w:hAnsi="宋体"/>
          <w:b/>
          <w:sz w:val="24"/>
          <w:highlight w:val="none"/>
        </w:rPr>
        <w:t>承诺文件的递交</w:t>
      </w:r>
      <w:bookmarkEnd w:id="16"/>
      <w:r>
        <w:rPr>
          <w:rFonts w:hint="eastAsia" w:ascii="宋体" w:hAnsi="宋体"/>
          <w:b/>
          <w:sz w:val="24"/>
          <w:highlight w:val="none"/>
        </w:rPr>
        <w:t>及相关事宜</w:t>
      </w:r>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5.1 本次评审不组织踏勘现场，承诺人自行踏勘，费用自理。</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7 </w:t>
      </w:r>
      <w:r>
        <w:rPr>
          <w:rFonts w:hint="eastAsia" w:ascii="宋体" w:hAnsi="宋体"/>
          <w:sz w:val="24"/>
          <w:highlight w:val="none"/>
        </w:rPr>
        <w:t>月</w:t>
      </w:r>
      <w:r>
        <w:rPr>
          <w:rFonts w:hint="eastAsia" w:ascii="宋体" w:hAnsi="宋体"/>
          <w:sz w:val="24"/>
          <w:highlight w:val="none"/>
          <w:u w:val="single"/>
          <w:lang w:val="en-US" w:eastAsia="zh-CN"/>
        </w:rPr>
        <w:t xml:space="preserve"> 26  </w:t>
      </w:r>
      <w:r>
        <w:rPr>
          <w:rFonts w:hint="eastAsia" w:ascii="宋体" w:hAnsi="宋体"/>
          <w:sz w:val="24"/>
          <w:highlight w:val="none"/>
        </w:rPr>
        <w:t>日</w:t>
      </w:r>
      <w:r>
        <w:rPr>
          <w:rFonts w:hint="eastAsia" w:ascii="宋体" w:hAnsi="宋体"/>
          <w:sz w:val="24"/>
          <w:highlight w:val="none"/>
          <w:lang w:val="en-US" w:eastAsia="zh-CN"/>
        </w:rPr>
        <w:t xml:space="preserve"> 14 </w:t>
      </w:r>
      <w:r>
        <w:rPr>
          <w:rFonts w:hint="eastAsia" w:ascii="宋体" w:hAnsi="宋体"/>
          <w:sz w:val="24"/>
          <w:highlight w:val="none"/>
        </w:rPr>
        <w:t>:</w:t>
      </w:r>
      <w:r>
        <w:rPr>
          <w:rFonts w:hint="eastAsia" w:ascii="宋体" w:hAnsi="宋体"/>
          <w:sz w:val="24"/>
          <w:highlight w:val="none"/>
          <w:lang w:val="en-US" w:eastAsia="zh-CN"/>
        </w:rPr>
        <w:t xml:space="preserve"> 30  时</w:t>
      </w:r>
      <w:r>
        <w:rPr>
          <w:rFonts w:hint="eastAsia" w:ascii="宋体" w:hAnsi="宋体"/>
          <w:sz w:val="24"/>
          <w:highlight w:val="none"/>
          <w:lang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 xml:space="preserve">时间前将承诺文件递交至 </w:t>
      </w:r>
      <w:r>
        <w:rPr>
          <w:rFonts w:hint="eastAsia" w:ascii="宋体" w:hAnsi="宋体"/>
          <w:color w:val="FF0000"/>
          <w:sz w:val="24"/>
          <w:highlight w:val="none"/>
          <w:u w:val="single"/>
        </w:rPr>
        <w:t>福建晖源工程咨询有限公司</w:t>
      </w:r>
      <w:r>
        <w:rPr>
          <w:rFonts w:hint="eastAsia" w:ascii="宋体" w:hAnsi="宋体"/>
          <w:color w:val="FF0000"/>
          <w:sz w:val="24"/>
          <w:highlight w:val="none"/>
          <w:u w:val="single"/>
          <w:lang w:val="en-US" w:eastAsia="zh-CN"/>
        </w:rPr>
        <w:t>开标室（</w:t>
      </w:r>
      <w:r>
        <w:rPr>
          <w:rFonts w:hint="eastAsia" w:ascii="宋体" w:hAnsi="宋体"/>
          <w:color w:val="FF0000"/>
          <w:sz w:val="24"/>
          <w:highlight w:val="none"/>
          <w:u w:val="single"/>
        </w:rPr>
        <w:t>地址：</w:t>
      </w:r>
      <w:r>
        <w:rPr>
          <w:rFonts w:hint="eastAsia" w:ascii="宋体" w:hAnsi="宋体"/>
          <w:color w:val="FF0000"/>
          <w:sz w:val="24"/>
          <w:highlight w:val="none"/>
          <w:u w:val="single"/>
          <w:lang w:val="en-US" w:eastAsia="zh-CN"/>
        </w:rPr>
        <w:t>南平市建阳区翠屏路112号云谷小区二期崇和里112-11到18号店</w:t>
      </w:r>
      <w:r>
        <w:rPr>
          <w:rFonts w:hint="eastAsia" w:ascii="宋体" w:hAnsi="宋体"/>
          <w:color w:val="FF0000"/>
          <w:sz w:val="24"/>
          <w:highlight w:val="none"/>
          <w:u w:val="single"/>
          <w:lang w:eastAsia="zh-CN"/>
        </w:rPr>
        <w:t>）</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代理机构将于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5.3开选时间和地点同承诺文件递交截止时间和地点。</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6.评审办法：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 xml:space="preserve">经评审的最低价法（当最低报价相同时采取随机抽取法确定中选人） </w:t>
      </w:r>
      <w:r>
        <w:rPr>
          <w:rFonts w:hint="eastAsia" w:ascii="宋体" w:hAnsi="宋体"/>
          <w:b/>
          <w:sz w:val="24"/>
          <w:highlight w:val="none"/>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7. 承诺保证金的提交</w:t>
      </w:r>
    </w:p>
    <w:p>
      <w:pPr>
        <w:pageBreakBefore w:val="0"/>
        <w:kinsoku/>
        <w:wordWrap/>
        <w:overflowPunct/>
        <w:topLinePunct w:val="0"/>
        <w:autoSpaceDE/>
        <w:autoSpaceDN/>
        <w:bidi w:val="0"/>
        <w:adjustRightInd/>
        <w:snapToGrid/>
        <w:spacing w:line="360" w:lineRule="auto"/>
        <w:ind w:firstLine="480" w:firstLineChars="200"/>
        <w:rPr>
          <w:rFonts w:hint="eastAsia" w:eastAsia="宋体"/>
          <w:highlight w:val="none"/>
          <w:lang w:val="en-US" w:eastAsia="zh-CN"/>
        </w:rPr>
      </w:pPr>
      <w:r>
        <w:rPr>
          <w:rFonts w:hint="eastAsia" w:ascii="宋体" w:hAnsi="宋体" w:cs="宋体"/>
          <w:sz w:val="24"/>
          <w:highlight w:val="none"/>
        </w:rPr>
        <w:t>7.1承诺保证金提交金额人民币</w:t>
      </w:r>
      <w:r>
        <w:rPr>
          <w:rFonts w:hint="eastAsia" w:ascii="宋体" w:hAnsi="宋体" w:eastAsia="宋体" w:cs="宋体"/>
          <w:sz w:val="24"/>
          <w:highlight w:val="none"/>
          <w:u w:val="single"/>
          <w:lang w:val="en-US" w:eastAsia="zh-CN"/>
        </w:rPr>
        <w:fldChar w:fldCharType="begin"/>
      </w:r>
      <w:r>
        <w:rPr>
          <w:rFonts w:hint="eastAsia" w:ascii="宋体" w:hAnsi="宋体" w:eastAsia="宋体" w:cs="宋体"/>
          <w:sz w:val="24"/>
          <w:highlight w:val="none"/>
          <w:u w:val="single"/>
          <w:lang w:val="en-US" w:eastAsia="zh-CN"/>
        </w:rPr>
        <w:instrText xml:space="preserve"> = 250000 \* CHINESENUM4 \* MERGEFORMAT </w:instrText>
      </w:r>
      <w:r>
        <w:rPr>
          <w:rFonts w:hint="eastAsia" w:ascii="宋体" w:hAnsi="宋体" w:eastAsia="宋体" w:cs="宋体"/>
          <w:sz w:val="24"/>
          <w:highlight w:val="none"/>
          <w:u w:val="single"/>
          <w:lang w:val="en-US" w:eastAsia="zh-CN"/>
        </w:rPr>
        <w:fldChar w:fldCharType="separate"/>
      </w:r>
      <w:r>
        <w:rPr>
          <w:rFonts w:hint="eastAsia" w:ascii="宋体" w:hAnsi="宋体" w:eastAsia="宋体" w:cs="宋体"/>
          <w:sz w:val="24"/>
          <w:highlight w:val="none"/>
          <w:u w:val="single"/>
          <w:lang w:val="en-US" w:eastAsia="zh-CN"/>
        </w:rPr>
        <w:t>捌万元整</w:t>
      </w:r>
      <w:r>
        <w:rPr>
          <w:rFonts w:hint="eastAsia" w:ascii="宋体" w:hAnsi="宋体" w:eastAsia="宋体" w:cs="宋体"/>
          <w:sz w:val="24"/>
          <w:highlight w:val="none"/>
          <w:u w:val="single"/>
          <w:lang w:val="en-US" w:eastAsia="zh-CN"/>
        </w:rPr>
        <w:fldChar w:fldCharType="end"/>
      </w:r>
      <w:r>
        <w:rPr>
          <w:rFonts w:hint="eastAsia" w:ascii="宋体" w:hAnsi="宋体" w:cs="宋体"/>
          <w:sz w:val="24"/>
          <w:highlight w:val="none"/>
        </w:rPr>
        <w:t>（¥</w:t>
      </w:r>
      <w:r>
        <w:rPr>
          <w:rFonts w:hint="eastAsia" w:ascii="宋体" w:hAnsi="宋体" w:cs="宋体"/>
          <w:sz w:val="24"/>
          <w:highlight w:val="none"/>
          <w:u w:val="single"/>
          <w:lang w:val="en-US" w:eastAsia="zh-CN"/>
        </w:rPr>
        <w:t>80000</w:t>
      </w:r>
      <w:r>
        <w:rPr>
          <w:rFonts w:hint="eastAsia" w:ascii="宋体" w:hAnsi="宋体" w:cs="宋体"/>
          <w:sz w:val="24"/>
          <w:highlight w:val="none"/>
        </w:rPr>
        <w:t>元）</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s="黑体"/>
          <w:kern w:val="0"/>
          <w:sz w:val="24"/>
          <w:highlight w:val="none"/>
        </w:rPr>
      </w:pPr>
      <w:r>
        <w:rPr>
          <w:rFonts w:hint="eastAsia" w:ascii="宋体" w:hAnsi="宋体" w:eastAsia="宋体" w:cs="宋体"/>
          <w:color w:val="auto"/>
          <w:sz w:val="24"/>
          <w:szCs w:val="24"/>
          <w:highlight w:val="none"/>
        </w:rPr>
        <w:t>①现金形式:</w:t>
      </w:r>
      <w:r>
        <w:rPr>
          <w:rFonts w:hint="eastAsia" w:ascii="宋体" w:hAnsi="宋体" w:cs="黑体"/>
          <w:kern w:val="0"/>
          <w:sz w:val="24"/>
          <w:highlight w:val="none"/>
        </w:rPr>
        <w:t>承诺保证金必须从企业账户一次性汇出（以到账时间为准，汇出账户名称与企业名称应一致），否则</w:t>
      </w:r>
      <w:r>
        <w:rPr>
          <w:rFonts w:hint="eastAsia" w:ascii="宋体" w:hAnsi="宋体" w:cs="黑体"/>
          <w:kern w:val="0"/>
          <w:sz w:val="24"/>
          <w:highlight w:val="none"/>
          <w:lang w:val="en-US" w:eastAsia="zh-CN"/>
        </w:rPr>
        <w:t>无效</w:t>
      </w:r>
      <w:r>
        <w:rPr>
          <w:rFonts w:hint="eastAsia" w:ascii="宋体" w:hAnsi="宋体" w:cs="黑体"/>
          <w:kern w:val="0"/>
          <w:sz w:val="24"/>
          <w:highlight w:val="none"/>
        </w:rPr>
        <w:t>承诺文件</w:t>
      </w:r>
      <w:r>
        <w:rPr>
          <w:rFonts w:hint="eastAsia" w:ascii="宋体" w:hAnsi="宋体" w:cs="黑体"/>
          <w:kern w:val="0"/>
          <w:sz w:val="24"/>
          <w:highlight w:val="none"/>
          <w:lang w:val="en-US" w:eastAsia="zh-CN"/>
        </w:rPr>
        <w:t>处理</w:t>
      </w:r>
      <w:r>
        <w:rPr>
          <w:rFonts w:hint="eastAsia" w:ascii="宋体" w:hAnsi="宋体" w:cs="黑体"/>
          <w:kern w:val="0"/>
          <w:sz w:val="24"/>
          <w:highlight w:val="none"/>
        </w:rPr>
        <w:t>。</w:t>
      </w:r>
    </w:p>
    <w:p>
      <w:pPr>
        <w:pStyle w:val="2"/>
        <w:pageBreakBefore w:val="0"/>
        <w:kinsoku/>
        <w:wordWrap/>
        <w:overflowPunct/>
        <w:topLinePunct w:val="0"/>
        <w:autoSpaceDE/>
        <w:autoSpaceDN/>
        <w:bidi w:val="0"/>
        <w:adjustRightInd/>
        <w:snapToGrid/>
        <w:spacing w:line="360" w:lineRule="auto"/>
        <w:rPr>
          <w:rFonts w:hint="eastAsia" w:eastAsia="宋体"/>
          <w:highlight w:val="none"/>
          <w:lang w:eastAsia="zh-CN"/>
        </w:rPr>
      </w:pPr>
      <w:r>
        <w:rPr>
          <w:rFonts w:hint="eastAsia" w:ascii="宋体" w:hAnsi="宋体" w:cs="宋体"/>
          <w:color w:val="000000"/>
          <w:sz w:val="24"/>
          <w:szCs w:val="24"/>
          <w:highlight w:val="none"/>
        </w:rPr>
        <w:t>②投标人以银行保函形式提交投标保证金的，</w:t>
      </w:r>
      <w:r>
        <w:rPr>
          <w:rFonts w:hint="eastAsia" w:ascii="宋体" w:hAnsi="宋体" w:cs="宋体"/>
          <w:color w:val="000000"/>
          <w:sz w:val="24"/>
          <w:highlight w:val="none"/>
        </w:rPr>
        <w:t>投标人应将银行保函原件随同投标文件一并</w:t>
      </w:r>
      <w:r>
        <w:rPr>
          <w:rFonts w:hint="eastAsia" w:ascii="宋体" w:hAnsi="宋体" w:cs="宋体"/>
          <w:color w:val="000000"/>
          <w:sz w:val="24"/>
          <w:szCs w:val="24"/>
          <w:highlight w:val="none"/>
        </w:rPr>
        <w:t>递交</w:t>
      </w:r>
      <w:r>
        <w:rPr>
          <w:rFonts w:hint="eastAsia" w:ascii="宋体" w:hAnsi="宋体" w:cs="宋体"/>
          <w:color w:val="000000"/>
          <w:sz w:val="24"/>
          <w:szCs w:val="24"/>
          <w:highlight w:val="none"/>
          <w:lang w:eastAsia="zh-CN"/>
        </w:rPr>
        <w:t>。</w:t>
      </w:r>
    </w:p>
    <w:p>
      <w:pPr>
        <w:pageBreakBefore w:val="0"/>
        <w:kinsoku/>
        <w:wordWrap/>
        <w:overflowPunct/>
        <w:topLinePunct w:val="0"/>
        <w:autoSpaceDE/>
        <w:autoSpaceDN/>
        <w:bidi w:val="0"/>
        <w:adjustRightInd/>
        <w:snapToGrid/>
        <w:spacing w:line="360" w:lineRule="auto"/>
        <w:ind w:left="480"/>
        <w:rPr>
          <w:rFonts w:ascii="宋体" w:hAnsi="宋体" w:cs="宋体"/>
          <w:sz w:val="24"/>
          <w:highlight w:val="none"/>
          <w:u w:val="single"/>
        </w:rPr>
      </w:pPr>
      <w:r>
        <w:rPr>
          <w:rFonts w:hint="eastAsia" w:ascii="宋体" w:hAnsi="宋体" w:cs="宋体"/>
          <w:sz w:val="24"/>
          <w:highlight w:val="none"/>
        </w:rPr>
        <w:t>7.2承诺保证金提交时间：</w:t>
      </w:r>
      <w:r>
        <w:rPr>
          <w:rFonts w:hint="eastAsia" w:ascii="宋体" w:hAnsi="宋体" w:cs="宋体"/>
          <w:b/>
          <w:sz w:val="24"/>
          <w:highlight w:val="none"/>
          <w:u w:val="single"/>
        </w:rPr>
        <w:t xml:space="preserve">  202</w:t>
      </w:r>
      <w:r>
        <w:rPr>
          <w:rFonts w:hint="eastAsia" w:ascii="宋体" w:hAnsi="宋体" w:cs="宋体"/>
          <w:b/>
          <w:sz w:val="24"/>
          <w:highlight w:val="none"/>
          <w:u w:val="single"/>
          <w:lang w:val="en-US" w:eastAsia="zh-CN"/>
        </w:rPr>
        <w:t>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 xml:space="preserve"> 7 </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 xml:space="preserve"> 25 </w:t>
      </w:r>
      <w:r>
        <w:rPr>
          <w:rFonts w:hint="eastAsia" w:ascii="宋体" w:hAnsi="宋体" w:cs="宋体"/>
          <w:b/>
          <w:sz w:val="24"/>
          <w:highlight w:val="none"/>
          <w:u w:val="single"/>
        </w:rPr>
        <w:t>日17:00时前。</w:t>
      </w:r>
    </w:p>
    <w:p>
      <w:pPr>
        <w:pageBreakBefore w:val="0"/>
        <w:kinsoku/>
        <w:wordWrap/>
        <w:overflowPunct/>
        <w:topLinePunct w:val="0"/>
        <w:autoSpaceDE/>
        <w:autoSpaceDN/>
        <w:bidi w:val="0"/>
        <w:adjustRightInd/>
        <w:snapToGrid/>
        <w:spacing w:line="360" w:lineRule="auto"/>
        <w:ind w:left="480"/>
        <w:rPr>
          <w:rFonts w:ascii="宋体" w:hAnsi="宋体" w:cs="宋体"/>
          <w:sz w:val="24"/>
          <w:highlight w:val="none"/>
        </w:rPr>
      </w:pPr>
      <w:r>
        <w:rPr>
          <w:rFonts w:hint="eastAsia" w:ascii="宋体" w:hAnsi="宋体" w:cs="宋体"/>
          <w:sz w:val="24"/>
          <w:highlight w:val="none"/>
        </w:rPr>
        <w:t>7.3承诺保证金银行</w:t>
      </w:r>
      <w:r>
        <w:rPr>
          <w:rFonts w:hint="eastAsia" w:ascii="宋体" w:hAnsi="宋体" w:cs="宋体"/>
          <w:sz w:val="24"/>
          <w:highlight w:val="none"/>
          <w:lang w:val="en-US" w:eastAsia="zh-CN"/>
        </w:rPr>
        <w:t>账</w:t>
      </w:r>
      <w:r>
        <w:rPr>
          <w:rFonts w:hint="eastAsia" w:ascii="宋体" w:hAnsi="宋体" w:cs="宋体"/>
          <w:sz w:val="24"/>
          <w:highlight w:val="none"/>
        </w:rPr>
        <w:t>号：</w:t>
      </w:r>
    </w:p>
    <w:p>
      <w:pPr>
        <w:pageBreakBefore w:val="0"/>
        <w:kinsoku/>
        <w:wordWrap/>
        <w:overflowPunct/>
        <w:topLinePunct w:val="0"/>
        <w:autoSpaceDE/>
        <w:autoSpaceDN/>
        <w:bidi w:val="0"/>
        <w:adjustRightInd/>
        <w:snapToGrid/>
        <w:spacing w:line="360" w:lineRule="auto"/>
        <w:ind w:left="1275" w:leftChars="607"/>
        <w:rPr>
          <w:sz w:val="24"/>
          <w:highlight w:val="none"/>
          <w:u w:val="single"/>
        </w:rPr>
      </w:pPr>
      <w:r>
        <w:rPr>
          <w:rFonts w:hint="eastAsia"/>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中国农业银行南平建阳支行 </w:t>
      </w:r>
      <w:r>
        <w:rPr>
          <w:rFonts w:hint="eastAsia"/>
          <w:sz w:val="24"/>
          <w:highlight w:val="none"/>
          <w:u w:val="single"/>
        </w:rPr>
        <w:t xml:space="preserve">    </w:t>
      </w:r>
    </w:p>
    <w:p>
      <w:pPr>
        <w:pageBreakBefore w:val="0"/>
        <w:kinsoku/>
        <w:wordWrap/>
        <w:overflowPunct/>
        <w:topLinePunct w:val="0"/>
        <w:autoSpaceDE/>
        <w:autoSpaceDN/>
        <w:bidi w:val="0"/>
        <w:adjustRightInd/>
        <w:snapToGrid/>
        <w:spacing w:line="360" w:lineRule="auto"/>
        <w:ind w:left="1275" w:leftChars="607"/>
        <w:rPr>
          <w:sz w:val="24"/>
          <w:highlight w:val="none"/>
        </w:rPr>
      </w:pPr>
      <w:r>
        <w:rPr>
          <w:rFonts w:hint="eastAsia"/>
          <w:sz w:val="24"/>
          <w:highlight w:val="none"/>
        </w:rPr>
        <w:t>开户名称：</w:t>
      </w:r>
      <w:r>
        <w:rPr>
          <w:rFonts w:hint="eastAsia"/>
          <w:sz w:val="24"/>
          <w:highlight w:val="none"/>
          <w:u w:val="single"/>
          <w:lang w:val="en-US" w:eastAsia="zh-CN"/>
        </w:rPr>
        <w:t xml:space="preserve">  南平建设集团信达供应链有限公司  </w:t>
      </w:r>
      <w:r>
        <w:rPr>
          <w:rFonts w:hint="eastAsia"/>
          <w:sz w:val="24"/>
          <w:highlight w:val="none"/>
          <w:u w:val="single"/>
        </w:rPr>
        <w:t xml:space="preserve"> </w:t>
      </w:r>
      <w:r>
        <w:rPr>
          <w:rFonts w:hint="eastAsia"/>
          <w:sz w:val="24"/>
          <w:highlight w:val="none"/>
        </w:rPr>
        <w:t xml:space="preserve"> </w:t>
      </w:r>
    </w:p>
    <w:p>
      <w:pPr>
        <w:pageBreakBefore w:val="0"/>
        <w:kinsoku/>
        <w:wordWrap/>
        <w:overflowPunct/>
        <w:topLinePunct w:val="0"/>
        <w:autoSpaceDE/>
        <w:autoSpaceDN/>
        <w:bidi w:val="0"/>
        <w:adjustRightInd/>
        <w:snapToGrid/>
        <w:spacing w:line="360" w:lineRule="auto"/>
        <w:ind w:left="1275" w:leftChars="607"/>
        <w:rPr>
          <w:sz w:val="24"/>
          <w:highlight w:val="none"/>
        </w:rPr>
      </w:pPr>
      <w:r>
        <w:rPr>
          <w:rFonts w:hint="eastAsia"/>
          <w:sz w:val="24"/>
          <w:highlight w:val="none"/>
          <w:lang w:val="en-US" w:eastAsia="zh-CN"/>
        </w:rPr>
        <w:t>账</w:t>
      </w:r>
      <w:r>
        <w:rPr>
          <w:rFonts w:hint="eastAsia"/>
          <w:sz w:val="24"/>
          <w:highlight w:val="none"/>
        </w:rPr>
        <w:t xml:space="preserve">    号：</w:t>
      </w:r>
      <w:r>
        <w:rPr>
          <w:rFonts w:hint="eastAsia"/>
          <w:sz w:val="24"/>
          <w:highlight w:val="none"/>
          <w:u w:val="single"/>
          <w:lang w:val="en-US" w:eastAsia="zh-CN"/>
        </w:rPr>
        <w:t xml:space="preserve">     13930101040036874</w:t>
      </w:r>
      <w:r>
        <w:rPr>
          <w:rFonts w:hint="eastAsia"/>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left="426" w:firstLine="720" w:firstLineChars="300"/>
        <w:rPr>
          <w:rFonts w:hint="eastAsia" w:ascii="宋体" w:hAnsi="宋体" w:cs="宋体"/>
          <w:sz w:val="24"/>
          <w:highlight w:val="none"/>
          <w:u w:val="single"/>
        </w:rPr>
      </w:pPr>
      <w:r>
        <w:rPr>
          <w:rFonts w:hint="eastAsia" w:ascii="宋体" w:hAnsi="宋体" w:cs="宋体"/>
          <w:sz w:val="24"/>
          <w:highlight w:val="none"/>
        </w:rPr>
        <w:t>用 途：</w:t>
      </w:r>
      <w:r>
        <w:rPr>
          <w:rFonts w:hint="eastAsia" w:ascii="宋体" w:hAnsi="宋体" w:cs="宋体"/>
          <w:sz w:val="24"/>
          <w:highlight w:val="none"/>
          <w:u w:val="single"/>
        </w:rPr>
        <w:t>（请注明）“</w:t>
      </w:r>
      <w:r>
        <w:rPr>
          <w:rFonts w:hint="eastAsia" w:ascii="宋体" w:hAnsi="宋体" w:cs="宋体"/>
          <w:b/>
          <w:bCs/>
          <w:sz w:val="24"/>
          <w:highlight w:val="none"/>
          <w:u w:val="single"/>
          <w:lang w:val="en-US" w:eastAsia="zh-CN"/>
        </w:rPr>
        <w:t xml:space="preserve"> 钢材供应商选择</w:t>
      </w:r>
      <w:r>
        <w:rPr>
          <w:rFonts w:hint="eastAsia" w:ascii="宋体" w:hAnsi="宋体" w:cs="宋体"/>
          <w:b/>
          <w:bCs/>
          <w:sz w:val="24"/>
          <w:highlight w:val="none"/>
          <w:u w:val="single"/>
        </w:rPr>
        <w:t>承诺保证金</w:t>
      </w:r>
      <w:r>
        <w:rPr>
          <w:rFonts w:hint="eastAsia" w:ascii="宋体" w:hAnsi="宋体" w:cs="宋体"/>
          <w:b/>
          <w:sz w:val="24"/>
          <w:highlight w:val="none"/>
          <w:u w:val="single"/>
        </w:rPr>
        <w:t>”</w:t>
      </w:r>
      <w:r>
        <w:rPr>
          <w:rFonts w:hint="eastAsia" w:ascii="宋体" w:hAnsi="宋体" w:cs="宋体"/>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以现金形式提交的</w:t>
      </w:r>
      <w:r>
        <w:rPr>
          <w:rFonts w:hint="eastAsia" w:ascii="宋体" w:hAnsi="宋体" w:cs="宋体"/>
          <w:sz w:val="24"/>
          <w:highlight w:val="none"/>
        </w:rPr>
        <w:t>如因承诺人汇款凭证未注明项目名称造成选择人无法识别承诺保证金到账情况或识别错误的，其责任由承诺人自行承担。</w:t>
      </w:r>
    </w:p>
    <w:p>
      <w:pPr>
        <w:pageBreakBefore w:val="0"/>
        <w:tabs>
          <w:tab w:val="left" w:pos="1134"/>
        </w:tabs>
        <w:kinsoku/>
        <w:wordWrap/>
        <w:overflowPunct/>
        <w:topLinePunct w:val="0"/>
        <w:autoSpaceDE/>
        <w:autoSpaceDN/>
        <w:bidi w:val="0"/>
        <w:adjustRightInd/>
        <w:snapToGrid/>
        <w:spacing w:line="360" w:lineRule="auto"/>
        <w:ind w:left="426"/>
        <w:rPr>
          <w:rFonts w:ascii="宋体" w:hAnsi="宋体" w:cs="宋体"/>
          <w:sz w:val="24"/>
          <w:highlight w:val="none"/>
          <w:u w:val="single"/>
        </w:rPr>
      </w:pPr>
      <w:r>
        <w:rPr>
          <w:rFonts w:hint="eastAsia" w:ascii="宋体" w:hAnsi="宋体" w:cs="宋体"/>
          <w:sz w:val="24"/>
          <w:highlight w:val="none"/>
        </w:rPr>
        <w:t>7.4承诺保证金有效期同承诺有效期</w:t>
      </w:r>
      <w:r>
        <w:rPr>
          <w:rFonts w:hint="eastAsia" w:ascii="宋体" w:hAnsi="宋体" w:cs="宋体"/>
          <w:sz w:val="24"/>
          <w:highlight w:val="none"/>
          <w:lang w:eastAsia="zh-CN"/>
        </w:rPr>
        <w:t>，</w:t>
      </w:r>
      <w:r>
        <w:rPr>
          <w:rFonts w:hint="eastAsia" w:ascii="宋体" w:hAnsi="宋体" w:cs="宋体"/>
          <w:sz w:val="24"/>
          <w:highlight w:val="none"/>
        </w:rPr>
        <w:t>未按规定提</w:t>
      </w:r>
      <w:r>
        <w:rPr>
          <w:rFonts w:hint="eastAsia" w:ascii="宋体" w:hAnsi="宋体" w:cs="宋体"/>
          <w:b w:val="0"/>
          <w:bCs w:val="0"/>
          <w:sz w:val="24"/>
          <w:highlight w:val="none"/>
        </w:rPr>
        <w:t>交</w:t>
      </w:r>
      <w:r>
        <w:rPr>
          <w:rFonts w:hint="eastAsia" w:ascii="宋体" w:hAnsi="宋体"/>
          <w:b/>
          <w:bCs/>
          <w:sz w:val="24"/>
          <w:highlight w:val="none"/>
        </w:rPr>
        <w:t>承诺保证金的</w:t>
      </w:r>
      <w:r>
        <w:rPr>
          <w:rFonts w:hint="eastAsia" w:ascii="宋体" w:hAnsi="宋体"/>
          <w:sz w:val="24"/>
          <w:highlight w:val="none"/>
        </w:rPr>
        <w:t>承诺文件</w:t>
      </w:r>
      <w:r>
        <w:rPr>
          <w:rFonts w:hint="eastAsia"/>
          <w:sz w:val="24"/>
          <w:highlight w:val="none"/>
          <w:lang w:val="en-US" w:eastAsia="zh-CN"/>
        </w:rPr>
        <w:t>按无效承诺文件处理</w:t>
      </w:r>
      <w:r>
        <w:rPr>
          <w:rFonts w:hint="eastAsia"/>
          <w:sz w:val="24"/>
          <w:highlight w:val="none"/>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8.发布公告的媒介</w:t>
      </w:r>
    </w:p>
    <w:p>
      <w:pPr>
        <w:pageBreakBefore w:val="0"/>
        <w:tabs>
          <w:tab w:val="left" w:pos="360"/>
        </w:tabs>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本次选择公告将在武夷发展集团网站（</w:t>
      </w:r>
      <w:r>
        <w:rPr>
          <w:rFonts w:ascii="宋体" w:hAnsi="宋体"/>
          <w:sz w:val="24"/>
          <w:highlight w:val="none"/>
        </w:rPr>
        <w:t>www.wuyijt.com</w:t>
      </w:r>
      <w:r>
        <w:rPr>
          <w:rFonts w:hint="eastAsia" w:ascii="宋体" w:hAnsi="宋体"/>
          <w:sz w:val="24"/>
          <w:highlight w:val="none"/>
        </w:rPr>
        <w:t>）公告中心发布。</w:t>
      </w:r>
    </w:p>
    <w:p>
      <w:pPr>
        <w:pageBreakBefore w:val="0"/>
        <w:kinsoku/>
        <w:wordWrap/>
        <w:overflowPunct/>
        <w:topLinePunct w:val="0"/>
        <w:autoSpaceDE/>
        <w:autoSpaceDN/>
        <w:bidi w:val="0"/>
        <w:adjustRightInd/>
        <w:snapToGrid/>
        <w:spacing w:line="360" w:lineRule="auto"/>
        <w:ind w:firstLine="482" w:firstLineChars="200"/>
        <w:rPr>
          <w:sz w:val="24"/>
          <w:highlight w:val="none"/>
        </w:rPr>
      </w:pPr>
      <w:r>
        <w:rPr>
          <w:rFonts w:hint="eastAsia" w:ascii="宋体" w:hAnsi="宋体"/>
          <w:b/>
          <w:sz w:val="24"/>
          <w:highlight w:val="none"/>
        </w:rPr>
        <w:t>9.</w:t>
      </w:r>
      <w:r>
        <w:rPr>
          <w:sz w:val="24"/>
          <w:highlight w:val="none"/>
        </w:rPr>
        <w:t>自购买</w:t>
      </w:r>
      <w:r>
        <w:rPr>
          <w:rFonts w:hint="eastAsia"/>
          <w:sz w:val="24"/>
          <w:highlight w:val="none"/>
        </w:rPr>
        <w:t>选择</w:t>
      </w:r>
      <w:r>
        <w:rPr>
          <w:sz w:val="24"/>
          <w:highlight w:val="none"/>
        </w:rPr>
        <w:t>文件之日起，</w:t>
      </w:r>
      <w:r>
        <w:rPr>
          <w:rFonts w:hint="eastAsia" w:ascii="宋体" w:hAnsi="宋体"/>
          <w:b/>
          <w:bCs/>
          <w:sz w:val="24"/>
          <w:highlight w:val="none"/>
        </w:rPr>
        <w:t>承诺人需派专人实时关注武夷发展集团网站（</w:t>
      </w:r>
      <w:r>
        <w:rPr>
          <w:rFonts w:ascii="宋体" w:hAnsi="宋体"/>
          <w:b/>
          <w:sz w:val="24"/>
          <w:highlight w:val="none"/>
        </w:rPr>
        <w:t>www.wuyijt.com</w:t>
      </w:r>
      <w:r>
        <w:rPr>
          <w:rFonts w:hint="eastAsia" w:ascii="宋体" w:hAnsi="宋体"/>
          <w:b/>
          <w:sz w:val="24"/>
          <w:highlight w:val="none"/>
        </w:rPr>
        <w:t>）</w:t>
      </w:r>
      <w:r>
        <w:rPr>
          <w:rFonts w:hint="eastAsia"/>
          <w:b/>
          <w:sz w:val="24"/>
          <w:highlight w:val="none"/>
        </w:rPr>
        <w:t>，</w:t>
      </w:r>
      <w:r>
        <w:rPr>
          <w:rFonts w:hint="eastAsia" w:ascii="宋体" w:hAnsi="宋体"/>
          <w:b/>
          <w:bCs/>
          <w:sz w:val="24"/>
          <w:highlight w:val="none"/>
        </w:rPr>
        <w:t>并及时了解修改（补遗）内容，选择人不另行通知</w:t>
      </w:r>
      <w:r>
        <w:rPr>
          <w:rFonts w:hint="eastAsia" w:ascii="宋体" w:hAnsi="宋体"/>
          <w:sz w:val="24"/>
          <w:highlight w:val="none"/>
        </w:rPr>
        <w:t>。若由于承诺人自身原因，未能详知修改（补遗）内容，所产生的后果由承诺人自行负责。</w:t>
      </w:r>
    </w:p>
    <w:p>
      <w:pPr>
        <w:spacing w:line="360" w:lineRule="auto"/>
        <w:ind w:firstLine="482" w:firstLineChars="200"/>
        <w:rPr>
          <w:rFonts w:hint="eastAsia" w:ascii="宋体" w:hAnsi="宋体"/>
          <w:b/>
          <w:sz w:val="24"/>
          <w:highlight w:val="none"/>
        </w:rPr>
      </w:pPr>
      <w:bookmarkStart w:id="20" w:name="_Toc234382576"/>
    </w:p>
    <w:p>
      <w:pPr>
        <w:spacing w:line="360" w:lineRule="auto"/>
        <w:ind w:firstLine="482" w:firstLineChars="200"/>
        <w:rPr>
          <w:rFonts w:ascii="宋体" w:hAnsi="宋体"/>
          <w:b/>
          <w:sz w:val="24"/>
          <w:highlight w:val="none"/>
        </w:rPr>
      </w:pPr>
      <w:r>
        <w:rPr>
          <w:rFonts w:hint="eastAsia" w:ascii="宋体" w:hAnsi="宋体"/>
          <w:b/>
          <w:sz w:val="24"/>
          <w:highlight w:val="none"/>
        </w:rPr>
        <w:t>10.选择人联系方式</w:t>
      </w:r>
      <w:bookmarkEnd w:id="20"/>
    </w:p>
    <w:p>
      <w:pPr>
        <w:spacing w:line="360" w:lineRule="auto"/>
        <w:ind w:firstLine="480" w:firstLineChars="200"/>
        <w:rPr>
          <w:rFonts w:hint="eastAsia"/>
          <w:sz w:val="24"/>
          <w:highlight w:val="none"/>
        </w:rPr>
      </w:pPr>
      <w:r>
        <w:rPr>
          <w:rFonts w:hint="eastAsia"/>
          <w:sz w:val="24"/>
          <w:highlight w:val="none"/>
        </w:rPr>
        <w:t>选 择</w:t>
      </w:r>
      <w:r>
        <w:rPr>
          <w:sz w:val="24"/>
          <w:highlight w:val="none"/>
        </w:rPr>
        <w:t xml:space="preserve"> </w:t>
      </w:r>
      <w:r>
        <w:rPr>
          <w:rFonts w:hint="eastAsia"/>
          <w:sz w:val="24"/>
          <w:highlight w:val="none"/>
        </w:rPr>
        <w:t>人：南平建设集团信达供应链有限公司</w:t>
      </w:r>
    </w:p>
    <w:p>
      <w:pPr>
        <w:spacing w:line="360" w:lineRule="auto"/>
        <w:ind w:firstLine="480" w:firstLineChars="200"/>
        <w:rPr>
          <w:rFonts w:hint="eastAsia" w:eastAsia="宋体"/>
          <w:sz w:val="24"/>
          <w:highlight w:val="none"/>
          <w:lang w:val="en-US" w:eastAsia="zh-CN"/>
        </w:rPr>
      </w:pPr>
      <w:r>
        <w:rPr>
          <w:rFonts w:hint="eastAsia"/>
          <w:sz w:val="24"/>
          <w:highlight w:val="none"/>
        </w:rPr>
        <w:t>地</w:t>
      </w:r>
      <w:r>
        <w:rPr>
          <w:sz w:val="24"/>
          <w:highlight w:val="none"/>
        </w:rPr>
        <w:t xml:space="preserve">    </w:t>
      </w:r>
      <w:r>
        <w:rPr>
          <w:rFonts w:hint="eastAsia"/>
          <w:sz w:val="24"/>
          <w:highlight w:val="none"/>
        </w:rPr>
        <w:t>址：</w:t>
      </w:r>
      <w:bookmarkStart w:id="21" w:name="_GoBack"/>
      <w:r>
        <w:rPr>
          <w:rFonts w:hint="eastAsia"/>
          <w:sz w:val="24"/>
          <w:highlight w:val="none"/>
          <w:lang w:val="en-US" w:eastAsia="zh-CN"/>
        </w:rPr>
        <w:t>南平市建阳区府后街136号（云谷小区福康苑16幢206室）</w:t>
      </w:r>
      <w:bookmarkEnd w:id="21"/>
    </w:p>
    <w:p>
      <w:pPr>
        <w:spacing w:line="360" w:lineRule="auto"/>
        <w:ind w:firstLine="480" w:firstLineChars="200"/>
        <w:rPr>
          <w:rFonts w:hint="eastAsia" w:eastAsia="宋体"/>
          <w:sz w:val="24"/>
          <w:highlight w:val="none"/>
          <w:lang w:val="en-US" w:eastAsia="zh-CN"/>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w:t>
      </w:r>
      <w:r>
        <w:rPr>
          <w:rFonts w:hint="eastAsia"/>
          <w:sz w:val="24"/>
          <w:highlight w:val="none"/>
          <w:lang w:val="en-US" w:eastAsia="zh-CN"/>
        </w:rPr>
        <w:t>陈先生</w:t>
      </w:r>
    </w:p>
    <w:p>
      <w:pPr>
        <w:spacing w:line="360" w:lineRule="auto"/>
        <w:ind w:firstLine="480" w:firstLineChars="200"/>
        <w:rPr>
          <w:rFonts w:hint="eastAsia"/>
          <w:sz w:val="24"/>
          <w:highlight w:val="none"/>
        </w:rPr>
      </w:pPr>
      <w:r>
        <w:rPr>
          <w:rFonts w:hint="eastAsia"/>
          <w:sz w:val="24"/>
          <w:highlight w:val="none"/>
        </w:rPr>
        <w:t>电    话：18659972856</w:t>
      </w:r>
    </w:p>
    <w:p>
      <w:pPr>
        <w:pStyle w:val="7"/>
        <w:spacing w:line="360" w:lineRule="auto"/>
        <w:ind w:left="420"/>
        <w:rPr>
          <w:rFonts w:hint="eastAsia"/>
          <w:sz w:val="24"/>
          <w:highlight w:val="none"/>
        </w:rPr>
      </w:pPr>
    </w:p>
    <w:p>
      <w:pPr>
        <w:spacing w:line="360" w:lineRule="auto"/>
        <w:ind w:firstLine="480" w:firstLineChars="200"/>
        <w:rPr>
          <w:sz w:val="24"/>
          <w:highlight w:val="none"/>
        </w:rPr>
      </w:pPr>
      <w:r>
        <w:rPr>
          <w:sz w:val="24"/>
          <w:highlight w:val="none"/>
        </w:rPr>
        <w:t>委托代理人：福建晖源工程咨询有限公司</w:t>
      </w:r>
    </w:p>
    <w:p>
      <w:pPr>
        <w:spacing w:line="360" w:lineRule="auto"/>
        <w:ind w:firstLine="480" w:firstLineChars="200"/>
        <w:rPr>
          <w:sz w:val="24"/>
          <w:highlight w:val="none"/>
        </w:rPr>
      </w:pPr>
      <w:r>
        <w:rPr>
          <w:sz w:val="24"/>
          <w:highlight w:val="none"/>
        </w:rPr>
        <w:t>地址：</w:t>
      </w:r>
      <w:r>
        <w:rPr>
          <w:rFonts w:hint="eastAsia"/>
          <w:sz w:val="24"/>
          <w:highlight w:val="none"/>
        </w:rPr>
        <w:t>福建省南平市建阳区顺昌街213号祥乐苑15幢一层</w:t>
      </w:r>
    </w:p>
    <w:p>
      <w:pPr>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刘女士</w:t>
      </w:r>
    </w:p>
    <w:p>
      <w:pPr>
        <w:spacing w:line="360" w:lineRule="auto"/>
        <w:ind w:firstLine="480" w:firstLineChars="200"/>
        <w:rPr>
          <w:sz w:val="24"/>
          <w:highlight w:val="none"/>
        </w:rPr>
      </w:pPr>
      <w:r>
        <w:rPr>
          <w:sz w:val="24"/>
          <w:highlight w:val="none"/>
        </w:rPr>
        <w:t>电话：</w:t>
      </w:r>
      <w:r>
        <w:rPr>
          <w:rFonts w:hint="eastAsia" w:ascii="宋体" w:hAnsi="宋体"/>
          <w:sz w:val="24"/>
          <w:highlight w:val="none"/>
        </w:rPr>
        <w:t>0599-5622667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97E8D6"/>
    <w:multiLevelType w:val="singleLevel"/>
    <w:tmpl w:val="A897E8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D522C"/>
    <w:rsid w:val="27BD522C"/>
    <w:rsid w:val="53C84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header"/>
    <w:basedOn w:val="1"/>
    <w:next w:val="2"/>
    <w:uiPriority w:val="0"/>
    <w:pPr>
      <w:pBdr>
        <w:bottom w:val="single" w:color="auto" w:sz="6" w:space="1"/>
      </w:pBdr>
      <w:tabs>
        <w:tab w:val="center" w:pos="4153"/>
        <w:tab w:val="right" w:pos="8306"/>
      </w:tabs>
      <w:snapToGrid w:val="0"/>
      <w:jc w:val="center"/>
    </w:pPr>
    <w:rPr>
      <w:sz w:val="18"/>
      <w:szCs w:val="18"/>
    </w:rPr>
  </w:style>
  <w:style w:type="paragraph" w:styleId="6">
    <w:name w:val="Body Text Indent"/>
    <w:basedOn w:val="1"/>
    <w:next w:val="1"/>
    <w:qFormat/>
    <w:uiPriority w:val="0"/>
    <w:pPr>
      <w:spacing w:after="120" w:afterLines="0"/>
      <w:ind w:left="200" w:leftChars="200"/>
    </w:pPr>
  </w:style>
  <w:style w:type="paragraph" w:styleId="7">
    <w:name w:val="Body Text First Indent 2"/>
    <w:basedOn w:val="6"/>
    <w:next w:val="8"/>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8">
    <w:name w:val="样式 标题 3 + (中文) 黑体 小四 非加粗 段前: 7.8 磅 段后: 0 磅 行距: 固定值 20 磅"/>
    <w:basedOn w:val="5"/>
    <w:uiPriority w:val="0"/>
    <w:pPr>
      <w:spacing w:line="400" w:lineRule="exact"/>
    </w:pPr>
    <w:rPr>
      <w:rFonts w:eastAsia="黑体"/>
      <w:b w:val="0"/>
      <w:bCs w:val="0"/>
      <w:szCs w:val="20"/>
    </w:rPr>
  </w:style>
  <w:style w:type="paragraph" w:customStyle="1" w:styleId="11">
    <w:name w:val="MSG_EN_FONT_STYLE_NAME_TEMPLATE_ROLE_NUMBER MSG_EN_FONT_STYLE_NAME_BY_ROLE_TEXT 7"/>
    <w:basedOn w:val="1"/>
    <w:qFormat/>
    <w:uiPriority w:val="0"/>
    <w:pPr>
      <w:shd w:val="clear" w:color="auto" w:fill="FFFFFF"/>
      <w:spacing w:before="340" w:after="220" w:line="200" w:lineRule="exact"/>
      <w:jc w:val="distribute"/>
    </w:pPr>
    <w:rPr>
      <w:rFonts w:ascii="宋体" w:hAnsi="宋体" w:eastAsia="宋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2024-07-17T08:48:00Z</dcterms:created>
  <dc:creator>WPS_1636936302</dc:creator>
  <cp:lastModifiedBy>WPS_1636936302</cp:lastModifiedBy>
  <cp:lastPrinted>2024-07-22T01:08:52Z</cp:lastPrinted>
  <dcterms:modified xsi:type="dcterms:W3CDTF">2024-07-22T01:36:46Z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