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highlight w:val="none"/>
        </w:rPr>
      </w:pPr>
      <w:r>
        <w:rPr>
          <w:rFonts w:hint="eastAsia"/>
          <w:highlight w:val="none"/>
          <w:lang w:val="en-US" w:eastAsia="zh-CN"/>
        </w:rPr>
        <w:t>选择</w:t>
      </w:r>
      <w:r>
        <w:rPr>
          <w:rFonts w:hint="eastAsia"/>
          <w:highlight w:val="none"/>
        </w:rPr>
        <w:t>公告</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0" w:name="_Toc234382570"/>
      <w:bookmarkStart w:id="1" w:name="_Toc243796160"/>
      <w:bookmarkStart w:id="2" w:name="_Toc344732466"/>
      <w:bookmarkStart w:id="3" w:name="_Toc245379316"/>
      <w:r>
        <w:rPr>
          <w:rFonts w:hint="eastAsia" w:ascii="宋体" w:hAnsi="宋体"/>
          <w:b/>
          <w:sz w:val="24"/>
          <w:highlight w:val="none"/>
        </w:rPr>
        <w:t>1.选择条件</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kern w:val="0"/>
          <w:sz w:val="24"/>
          <w:highlight w:val="none"/>
          <w:u w:val="single"/>
        </w:rPr>
        <w:t>南平建设集团信达供应链有限公司</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钢材</w:t>
      </w:r>
      <w:r>
        <w:rPr>
          <w:rFonts w:hint="eastAsia" w:ascii="宋体" w:hAnsi="宋体"/>
          <w:kern w:val="0"/>
          <w:sz w:val="24"/>
          <w:highlight w:val="none"/>
          <w:u w:val="single"/>
        </w:rPr>
        <w:t>类</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钢材</w:t>
      </w:r>
      <w:r>
        <w:rPr>
          <w:rFonts w:hint="eastAsia" w:ascii="宋体" w:hAnsi="宋体"/>
          <w:sz w:val="24"/>
          <w:highlight w:val="none"/>
          <w:u w:val="single"/>
        </w:rPr>
        <w:t>类</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rPr>
        <w:t>库内</w:t>
      </w:r>
      <w:r>
        <w:rPr>
          <w:rFonts w:hint="eastAsia" w:ascii="宋体" w:hAnsi="宋体"/>
          <w:sz w:val="24"/>
          <w:highlight w:val="none"/>
          <w:u w:val="single"/>
          <w:lang w:val="en-US" w:eastAsia="zh-CN"/>
        </w:rPr>
        <w:t>二次</w:t>
      </w:r>
      <w:r>
        <w:rPr>
          <w:rFonts w:hint="eastAsia" w:ascii="宋体" w:hAnsi="宋体"/>
          <w:sz w:val="24"/>
          <w:highlight w:val="none"/>
        </w:rPr>
        <w:t>公开选择。</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4" w:name="_Toc344732467"/>
      <w:bookmarkStart w:id="5" w:name="_Toc234382571"/>
      <w:bookmarkStart w:id="6" w:name="_Toc245379317"/>
      <w:bookmarkStart w:id="7" w:name="_Toc243796161"/>
      <w:r>
        <w:rPr>
          <w:rFonts w:hint="eastAsia" w:ascii="宋体" w:hAnsi="宋体"/>
          <w:b/>
          <w:sz w:val="24"/>
          <w:highlight w:val="none"/>
        </w:rPr>
        <w:t>2.项目概况与选择范围</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single"/>
        </w:rPr>
        <w:t>南平市武夷新区核心区林后大街</w:t>
      </w:r>
      <w:r>
        <w:rPr>
          <w:rFonts w:hint="eastAsia"/>
          <w:sz w:val="24"/>
          <w:highlight w:val="none"/>
        </w:rPr>
        <w:t>。</w:t>
      </w:r>
    </w:p>
    <w:p>
      <w:pPr>
        <w:pStyle w:val="2"/>
        <w:pageBreakBefore w:val="0"/>
        <w:kinsoku/>
        <w:wordWrap/>
        <w:overflowPunct/>
        <w:topLinePunct w:val="0"/>
        <w:autoSpaceDE/>
        <w:autoSpaceDN/>
        <w:bidi w:val="0"/>
        <w:adjustRightInd/>
        <w:snapToGrid/>
        <w:spacing w:line="360" w:lineRule="auto"/>
        <w:rPr>
          <w:rFonts w:hint="eastAsia" w:eastAsia="宋体"/>
          <w:highlight w:val="none"/>
          <w:lang w:val="en-US" w:eastAsia="zh-CN"/>
        </w:rPr>
      </w:pPr>
      <w:r>
        <w:rPr>
          <w:rFonts w:hint="eastAsia"/>
          <w:sz w:val="24"/>
          <w:highlight w:val="none"/>
          <w:lang w:val="en-US" w:eastAsia="zh-CN"/>
        </w:rPr>
        <w:t>2.2  项目编号：福晖选择【2024】003号</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lang w:eastAsia="zh-CN"/>
        </w:rPr>
        <w:t>：</w:t>
      </w:r>
      <w:bookmarkStart w:id="21" w:name="_GoBack"/>
      <w:r>
        <w:rPr>
          <w:rFonts w:hint="eastAsia"/>
          <w:sz w:val="24"/>
          <w:highlight w:val="none"/>
          <w:u w:val="single"/>
          <w:lang w:eastAsia="zh-CN"/>
        </w:rPr>
        <w:t>南平市云谷小区二期1区A、B地块</w:t>
      </w:r>
      <w:r>
        <w:rPr>
          <w:rFonts w:hint="eastAsia"/>
          <w:sz w:val="24"/>
          <w:highlight w:val="none"/>
          <w:u w:val="single"/>
          <w:lang w:val="en-US" w:eastAsia="zh-CN"/>
        </w:rPr>
        <w:t>项目钢材供应商二次选择</w:t>
      </w:r>
      <w:bookmarkEnd w:id="21"/>
      <w:r>
        <w:rPr>
          <w:rFonts w:hint="eastAsia"/>
          <w:sz w:val="24"/>
          <w:highlight w:val="none"/>
          <w:u w:val="single"/>
        </w:rPr>
        <w:t xml:space="preserve"> </w:t>
      </w:r>
      <w:r>
        <w:rPr>
          <w:rFonts w:hint="eastAsia"/>
          <w:sz w:val="24"/>
          <w:highlight w:val="none"/>
        </w:rPr>
        <w:t>。</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tbl>
      <w:tblPr>
        <w:tblStyle w:val="11"/>
        <w:tblW w:w="9596" w:type="dxa"/>
        <w:jc w:val="center"/>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
        <w:gridCol w:w="1950"/>
        <w:gridCol w:w="1185"/>
        <w:gridCol w:w="795"/>
        <w:gridCol w:w="840"/>
        <w:gridCol w:w="269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jc w:val="center"/>
        </w:trPr>
        <w:tc>
          <w:tcPr>
            <w:tcW w:w="928"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rPr>
            </w:pPr>
            <w:r>
              <w:rPr>
                <w:rFonts w:hint="eastAsia" w:ascii="宋体" w:hAnsi="宋体"/>
                <w:sz w:val="24"/>
                <w:szCs w:val="24"/>
                <w:highlight w:val="none"/>
                <w:lang w:val="en-US" w:eastAsia="zh-CN"/>
              </w:rPr>
              <w:t>序号</w:t>
            </w:r>
          </w:p>
        </w:tc>
        <w:tc>
          <w:tcPr>
            <w:tcW w:w="195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货物名称</w:t>
            </w:r>
          </w:p>
        </w:tc>
        <w:tc>
          <w:tcPr>
            <w:tcW w:w="1185"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品牌</w:t>
            </w:r>
          </w:p>
        </w:tc>
        <w:tc>
          <w:tcPr>
            <w:tcW w:w="795"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单位</w:t>
            </w:r>
          </w:p>
        </w:tc>
        <w:tc>
          <w:tcPr>
            <w:tcW w:w="84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数量</w:t>
            </w:r>
          </w:p>
        </w:tc>
        <w:tc>
          <w:tcPr>
            <w:tcW w:w="2698"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最高单价限价</w:t>
            </w:r>
          </w:p>
        </w:tc>
        <w:tc>
          <w:tcPr>
            <w:tcW w:w="120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供货服务</w:t>
            </w:r>
          </w:p>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rPr>
            </w:pPr>
            <w:r>
              <w:rPr>
                <w:rFonts w:hint="eastAsia" w:ascii="宋体" w:hAnsi="宋体"/>
                <w:bCs/>
                <w:sz w:val="24"/>
                <w:szCs w:val="24"/>
                <w:highlight w:val="none"/>
                <w:lang w:val="en-US" w:eastAsia="zh-CN"/>
              </w:rPr>
              <w:t>1</w:t>
            </w:r>
          </w:p>
        </w:tc>
        <w:tc>
          <w:tcPr>
            <w:tcW w:w="1950" w:type="dxa"/>
            <w:noWrap w:val="0"/>
            <w:vAlign w:val="center"/>
          </w:tcPr>
          <w:p>
            <w:pPr>
              <w:pStyle w:val="12"/>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ascii="宋体" w:hAnsi="宋体"/>
                <w:sz w:val="24"/>
                <w:szCs w:val="24"/>
                <w:highlight w:val="none"/>
              </w:rPr>
            </w:pPr>
            <w:r>
              <w:rPr>
                <w:rFonts w:hint="eastAsia" w:eastAsia="宋体" w:cs="宋体"/>
                <w:color w:val="auto"/>
                <w:sz w:val="24"/>
                <w:szCs w:val="24"/>
                <w:highlight w:val="none"/>
                <w:lang w:val="en-US"/>
              </w:rPr>
              <w:t>高线</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三钢闽光</w:t>
            </w:r>
          </w:p>
        </w:tc>
        <w:tc>
          <w:tcPr>
            <w:tcW w:w="795"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lang w:val="en-US" w:eastAsia="zh-CN"/>
              </w:rPr>
              <w:t>吨</w:t>
            </w:r>
          </w:p>
        </w:tc>
        <w:tc>
          <w:tcPr>
            <w:tcW w:w="840"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lang w:val="en-US" w:eastAsia="zh-CN"/>
              </w:rPr>
              <w:t>约16972</w:t>
            </w:r>
          </w:p>
        </w:tc>
        <w:tc>
          <w:tcPr>
            <w:tcW w:w="269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按到货日我的钢铁网南平地区当日价下浮109元/吨</w:t>
            </w:r>
          </w:p>
        </w:tc>
        <w:tc>
          <w:tcPr>
            <w:tcW w:w="120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shd w:val="clear" w:color="auto" w:fill="FFFFFF"/>
              </w:rPr>
              <w:t>从供货合同签订之日起至项目完工止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1950" w:type="dxa"/>
            <w:noWrap w:val="0"/>
            <w:vAlign w:val="center"/>
          </w:tcPr>
          <w:p>
            <w:pPr>
              <w:pStyle w:val="12"/>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sz w:val="24"/>
                <w:szCs w:val="24"/>
                <w:highlight w:val="none"/>
              </w:rPr>
            </w:pPr>
            <w:r>
              <w:rPr>
                <w:rFonts w:hint="eastAsia" w:eastAsia="宋体" w:cs="宋体"/>
                <w:color w:val="auto"/>
                <w:sz w:val="24"/>
                <w:szCs w:val="24"/>
                <w:highlight w:val="none"/>
                <w:lang w:val="en-US"/>
              </w:rPr>
              <w:t>盘螺</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r>
              <w:rPr>
                <w:rFonts w:hint="eastAsia" w:ascii="宋体" w:hAnsi="宋体"/>
                <w:sz w:val="24"/>
                <w:szCs w:val="24"/>
                <w:highlight w:val="none"/>
              </w:rPr>
              <w:t>三钢闽光</w:t>
            </w:r>
          </w:p>
        </w:tc>
        <w:tc>
          <w:tcPr>
            <w:tcW w:w="795"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840"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26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w:t>
            </w:r>
          </w:p>
        </w:tc>
        <w:tc>
          <w:tcPr>
            <w:tcW w:w="1950" w:type="dxa"/>
            <w:noWrap w:val="0"/>
            <w:vAlign w:val="center"/>
          </w:tcPr>
          <w:p>
            <w:pPr>
              <w:pStyle w:val="12"/>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sz w:val="24"/>
                <w:szCs w:val="24"/>
                <w:highlight w:val="none"/>
              </w:rPr>
            </w:pPr>
            <w:r>
              <w:rPr>
                <w:rFonts w:hint="eastAsia" w:eastAsia="宋体" w:cs="宋体"/>
                <w:color w:val="auto"/>
                <w:sz w:val="24"/>
                <w:szCs w:val="24"/>
                <w:highlight w:val="none"/>
                <w:lang w:val="en-US"/>
              </w:rPr>
              <w:t>螺纹钢</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32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r>
              <w:rPr>
                <w:rFonts w:hint="eastAsia" w:ascii="宋体" w:hAnsi="宋体"/>
                <w:sz w:val="24"/>
                <w:szCs w:val="24"/>
                <w:highlight w:val="none"/>
              </w:rPr>
              <w:t>三钢闽光</w:t>
            </w:r>
          </w:p>
        </w:tc>
        <w:tc>
          <w:tcPr>
            <w:tcW w:w="795"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840"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26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596" w:type="dxa"/>
            <w:gridSpan w:val="7"/>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lang w:val="en-US" w:eastAsia="zh-CN"/>
              </w:rPr>
            </w:pPr>
            <w:r>
              <w:rPr>
                <w:rFonts w:hint="eastAsia"/>
                <w:lang w:val="en-US" w:eastAsia="zh-CN"/>
              </w:rPr>
              <w:t>以上的供货数量为估值，合同执行期间内，具体供货规格型号、等级及数量以招选人下单为准，供货方应无条件满足要求。</w:t>
            </w:r>
          </w:p>
          <w:p>
            <w:pPr>
              <w:pStyle w:val="7"/>
              <w:numPr>
                <w:ilvl w:val="0"/>
                <w:numId w:val="0"/>
              </w:numPr>
              <w:ind w:firstLine="420" w:firstLineChars="200"/>
              <w:rPr>
                <w:rFonts w:hint="eastAsia"/>
                <w:lang w:val="en-US" w:eastAsia="zh-CN"/>
              </w:rPr>
            </w:pPr>
            <w:r>
              <w:rPr>
                <w:rFonts w:hint="eastAsia"/>
                <w:color w:val="auto"/>
                <w:highlight w:val="none"/>
                <w:lang w:val="en-US" w:eastAsia="zh-CN"/>
              </w:rPr>
              <w:t>2、承诺报</w:t>
            </w:r>
            <w:r>
              <w:rPr>
                <w:rFonts w:hint="eastAsia" w:ascii="Calibri" w:hAnsi="Calibri" w:eastAsia="宋体" w:cs="Times New Roman"/>
                <w:color w:val="auto"/>
                <w:highlight w:val="none"/>
                <w:lang w:val="en-US" w:eastAsia="zh-CN"/>
              </w:rPr>
              <w:t>价包括但不限于：物资款、运输费、装车费</w:t>
            </w:r>
            <w:r>
              <w:rPr>
                <w:rFonts w:hint="eastAsia" w:ascii="Calibri" w:hAnsi="Calibri" w:eastAsia="宋体" w:cs="Times New Roman"/>
                <w:color w:val="FF0000"/>
                <w:highlight w:val="none"/>
                <w:lang w:val="en-US" w:eastAsia="zh-CN"/>
              </w:rPr>
              <w:t>（不含卸费）</w:t>
            </w:r>
            <w:r>
              <w:rPr>
                <w:rFonts w:hint="eastAsia" w:ascii="Calibri" w:hAnsi="Calibri" w:eastAsia="宋体" w:cs="Times New Roman"/>
                <w:color w:val="auto"/>
                <w:highlight w:val="none"/>
                <w:lang w:val="en-US" w:eastAsia="zh-CN"/>
              </w:rPr>
              <w:t>、管理费、利润、风险以及乙方因出售该物资应缴纳的一切税费等全部</w:t>
            </w:r>
            <w:r>
              <w:rPr>
                <w:rFonts w:hint="eastAsia" w:ascii="Calibri" w:hAnsi="Calibri" w:eastAsia="宋体" w:cs="Times New Roman"/>
                <w:highlight w:val="none"/>
                <w:lang w:val="en-US" w:eastAsia="zh-CN"/>
              </w:rPr>
              <w:t>费用。</w:t>
            </w:r>
          </w:p>
        </w:tc>
      </w:tr>
    </w:tbl>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b/>
          <w:sz w:val="24"/>
          <w:highlight w:val="none"/>
          <w:lang w:val="en-US" w:eastAsia="zh-CN"/>
        </w:rPr>
      </w:pPr>
      <w:bookmarkStart w:id="8" w:name="_Toc243796162"/>
      <w:bookmarkStart w:id="9" w:name="_Toc234382572"/>
      <w:bookmarkStart w:id="10" w:name="_Toc245379318"/>
      <w:bookmarkStart w:id="11" w:name="_Toc344732468"/>
      <w:r>
        <w:rPr>
          <w:rFonts w:hint="eastAsia" w:ascii="宋体" w:hAnsi="宋体"/>
          <w:b/>
          <w:sz w:val="24"/>
          <w:highlight w:val="none"/>
        </w:rPr>
        <w:t>3.资格要求</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480" w:firstLineChars="200"/>
        <w:rPr>
          <w:sz w:val="24"/>
          <w:highlight w:val="none"/>
        </w:rPr>
      </w:pPr>
      <w:r>
        <w:rPr>
          <w:rFonts w:hint="eastAsia"/>
          <w:sz w:val="24"/>
          <w:highlight w:val="none"/>
        </w:rPr>
        <w:t>3.1 本次选择要求承诺人须具备以下条件：</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钢材类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7"/>
        <w:pageBreakBefore w:val="0"/>
        <w:kinsoku/>
        <w:wordWrap/>
        <w:overflowPunct/>
        <w:topLinePunct w:val="0"/>
        <w:autoSpaceDE/>
        <w:autoSpaceDN/>
        <w:bidi w:val="0"/>
        <w:adjustRightInd/>
        <w:snapToGrid/>
        <w:spacing w:before="0" w:beforeLines="0" w:after="0" w:afterLines="0"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pageBreakBefore w:val="0"/>
        <w:kinsoku/>
        <w:wordWrap/>
        <w:overflowPunct/>
        <w:topLinePunct w:val="0"/>
        <w:autoSpaceDE/>
        <w:autoSpaceDN/>
        <w:bidi w:val="0"/>
        <w:adjustRightInd/>
        <w:snapToGrid/>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bookmarkStart w:id="12" w:name="_Toc234382573"/>
      <w:bookmarkStart w:id="13" w:name="_Toc243796163"/>
      <w:bookmarkStart w:id="14" w:name="_Toc245379319"/>
      <w:bookmarkStart w:id="15" w:name="_Toc34473246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pageBreakBefore w:val="0"/>
        <w:kinsoku/>
        <w:wordWrap/>
        <w:overflowPunct/>
        <w:topLinePunct w:val="0"/>
        <w:autoSpaceDE/>
        <w:autoSpaceDN/>
        <w:bidi w:val="0"/>
        <w:adjustRightInd/>
        <w:snapToGrid/>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3.5本次选择接受代理商或经销商。代理商、经销商参加的，必须持有</w:t>
      </w:r>
      <w:r>
        <w:rPr>
          <w:rFonts w:hint="eastAsia" w:ascii="宋体" w:hAnsi="宋体"/>
          <w:sz w:val="24"/>
          <w:szCs w:val="24"/>
          <w:highlight w:val="none"/>
        </w:rPr>
        <w:t>三钢</w:t>
      </w:r>
      <w:r>
        <w:rPr>
          <w:rFonts w:hint="eastAsia" w:ascii="Times New Roman" w:hAnsi="Times New Roman" w:eastAsia="宋体" w:cs="Times New Roman"/>
          <w:sz w:val="24"/>
          <w:highlight w:val="none"/>
          <w:lang w:val="en-US" w:eastAsia="zh-CN"/>
        </w:rPr>
        <w:t>生产厂家出具的授权函或经销证明。</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30</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none"/>
        </w:rPr>
        <w:t>日</w:t>
      </w:r>
      <w:r>
        <w:rPr>
          <w:rFonts w:hint="eastAsia" w:ascii="宋体" w:hAnsi="宋体"/>
          <w:sz w:val="24"/>
          <w:highlight w:val="none"/>
        </w:rPr>
        <w:t xml:space="preserve">（工作时间）到 </w:t>
      </w:r>
      <w:r>
        <w:rPr>
          <w:rFonts w:hint="eastAsia" w:ascii="宋体" w:hAnsi="宋体"/>
          <w:sz w:val="24"/>
          <w:highlight w:val="none"/>
          <w:u w:val="single"/>
        </w:rPr>
        <w:t xml:space="preserve">福建晖源工程咨询有限公司  </w:t>
      </w:r>
      <w:r>
        <w:rPr>
          <w:rFonts w:hint="eastAsia" w:ascii="宋体" w:hAnsi="宋体"/>
          <w:sz w:val="24"/>
          <w:highlight w:val="none"/>
          <w:u w:val="single"/>
          <w:lang w:val="en-US" w:eastAsia="zh-CN"/>
        </w:rPr>
        <w:t>(</w:t>
      </w:r>
      <w:r>
        <w:rPr>
          <w:rFonts w:hint="eastAsia" w:ascii="宋体" w:hAnsi="宋体"/>
          <w:sz w:val="24"/>
          <w:highlight w:val="none"/>
          <w:u w:val="single"/>
        </w:rPr>
        <w:t>地址：</w:t>
      </w:r>
      <w:r>
        <w:rPr>
          <w:rFonts w:hint="eastAsia" w:ascii="宋体" w:hAnsi="宋体"/>
          <w:color w:val="FF0000"/>
          <w:sz w:val="24"/>
          <w:highlight w:val="none"/>
          <w:u w:val="single"/>
          <w:lang w:val="en-US" w:eastAsia="zh-CN"/>
        </w:rPr>
        <w:t>福建省南平市</w:t>
      </w:r>
      <w:r>
        <w:rPr>
          <w:rFonts w:hint="eastAsia" w:ascii="宋体" w:hAnsi="宋体"/>
          <w:color w:val="FF0000"/>
          <w:sz w:val="24"/>
          <w:highlight w:val="none"/>
          <w:u w:val="single"/>
        </w:rPr>
        <w:t>建阳区顺昌街213号祥乐苑15幢一层</w:t>
      </w:r>
      <w:r>
        <w:rPr>
          <w:rFonts w:hint="eastAsia" w:ascii="宋体" w:hAnsi="宋体"/>
          <w:color w:val="FF0000"/>
          <w:sz w:val="24"/>
          <w:highlight w:val="none"/>
          <w:u w:val="single"/>
          <w:lang w:val="en-US" w:eastAsia="zh-CN"/>
        </w:rPr>
        <w:t>晖源招标采购部</w:t>
      </w:r>
      <w:r>
        <w:rPr>
          <w:rFonts w:hint="eastAsia" w:ascii="宋体" w:hAnsi="宋体"/>
          <w:color w:val="FF0000"/>
          <w:sz w:val="24"/>
          <w:highlight w:val="none"/>
          <w:u w:val="single"/>
        </w:rPr>
        <w:t>报名</w:t>
      </w:r>
      <w:r>
        <w:rPr>
          <w:rFonts w:hint="eastAsia" w:ascii="宋体" w:hAnsi="宋体"/>
          <w:sz w:val="24"/>
          <w:highlight w:val="none"/>
          <w:u w:val="single"/>
          <w:lang w:val="en-US" w:eastAsia="zh-CN"/>
        </w:rPr>
        <w:t>)</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pStyle w:val="2"/>
        <w:pageBreakBefore w:val="0"/>
        <w:kinsoku/>
        <w:wordWrap/>
        <w:overflowPunct/>
        <w:topLinePunct w:val="0"/>
        <w:autoSpaceDE/>
        <w:autoSpaceDN/>
        <w:bidi w:val="0"/>
        <w:adjustRightInd/>
        <w:snapToGrid/>
        <w:spacing w:line="360" w:lineRule="auto"/>
        <w:ind w:left="0" w:leftChars="0" w:firstLine="480" w:firstLineChars="200"/>
        <w:rPr>
          <w:rFonts w:hint="eastAsia" w:eastAsia="宋体"/>
          <w:highlight w:val="none"/>
          <w:lang w:val="en-US" w:eastAsia="zh-CN"/>
        </w:rPr>
      </w:pPr>
      <w:r>
        <w:rPr>
          <w:rFonts w:hint="eastAsia" w:ascii="宋体" w:hAnsi="宋体"/>
          <w:sz w:val="24"/>
          <w:highlight w:val="none"/>
          <w:lang w:val="en-US" w:eastAsia="zh-CN"/>
        </w:rPr>
        <w:t>（1）营业执照复印件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）法定代表人身份证明和身份证复印件及原件或其授权委托书、被授权人</w:t>
      </w:r>
      <w:r>
        <w:rPr>
          <w:rFonts w:hint="eastAsia"/>
          <w:sz w:val="24"/>
          <w:highlight w:val="none"/>
        </w:rPr>
        <w:t>的</w:t>
      </w:r>
      <w:r>
        <w:rPr>
          <w:rFonts w:hint="eastAsia" w:ascii="宋体" w:hAnsi="宋体"/>
          <w:sz w:val="24"/>
          <w:highlight w:val="none"/>
        </w:rPr>
        <w:t>身份证复印件（加盖单位公章）和原件。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）未按要求提供上述资料的，选择人有权拒绝其报名。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pageBreakBefore w:val="0"/>
        <w:tabs>
          <w:tab w:val="left" w:pos="360"/>
        </w:tabs>
        <w:kinsoku/>
        <w:wordWrap/>
        <w:overflowPunct/>
        <w:topLinePunct w:val="0"/>
        <w:autoSpaceDE/>
        <w:autoSpaceDN/>
        <w:bidi w:val="0"/>
        <w:adjustRightInd/>
        <w:snapToGrid/>
        <w:spacing w:line="360" w:lineRule="auto"/>
        <w:ind w:left="479" w:leftChars="228" w:firstLine="0" w:firstLineChars="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30</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eastAsia="宋体"/>
          <w:sz w:val="24"/>
          <w:highlight w:val="none"/>
          <w:u w:val="single"/>
          <w:lang w:val="en-US" w:eastAsia="zh-CN"/>
        </w:rPr>
        <w:t>A、B</w:t>
      </w:r>
      <w:r>
        <w:rPr>
          <w:rFonts w:hint="eastAsia"/>
          <w:sz w:val="24"/>
          <w:highlight w:val="none"/>
          <w:u w:val="single"/>
          <w:lang w:val="en-US" w:eastAsia="zh-CN"/>
        </w:rPr>
        <w:t>项目钢材供应商二次</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pStyle w:val="2"/>
        <w:pageBreakBefore w:val="0"/>
        <w:kinsoku/>
        <w:wordWrap/>
        <w:overflowPunct/>
        <w:topLinePunct w:val="0"/>
        <w:autoSpaceDE/>
        <w:autoSpaceDN/>
        <w:bidi w:val="0"/>
        <w:adjustRightInd/>
        <w:snapToGrid/>
        <w:spacing w:line="360" w:lineRule="auto"/>
        <w:rPr>
          <w:rFonts w:hint="default"/>
          <w:highlight w:val="none"/>
          <w:lang w:val="en-US" w:eastAsia="zh-CN"/>
        </w:rPr>
      </w:pPr>
      <w:r>
        <w:rPr>
          <w:rFonts w:hint="eastAsia" w:ascii="宋体" w:hAnsi="宋体" w:eastAsia="宋体" w:cs="Times New Roman"/>
          <w:color w:val="auto"/>
          <w:kern w:val="0"/>
          <w:sz w:val="24"/>
          <w:highlight w:val="none"/>
          <w:u w:val="none"/>
          <w:lang w:val="en-US" w:eastAsia="zh-CN"/>
        </w:rPr>
        <w:t>（1）</w:t>
      </w:r>
      <w:r>
        <w:rPr>
          <w:rFonts w:hint="eastAsia" w:ascii="宋体" w:hAnsi="宋体"/>
          <w:sz w:val="24"/>
          <w:highlight w:val="none"/>
          <w:lang w:val="en-US" w:eastAsia="zh-CN"/>
        </w:rPr>
        <w:t>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2"/>
        <w:pageBreakBefore w:val="0"/>
        <w:kinsoku/>
        <w:wordWrap/>
        <w:overflowPunct/>
        <w:topLinePunct w:val="0"/>
        <w:autoSpaceDE/>
        <w:autoSpaceDN/>
        <w:bidi w:val="0"/>
        <w:adjustRightInd/>
        <w:snapToGrid/>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（3）转账记录凭证</w:t>
      </w:r>
      <w:r>
        <w:rPr>
          <w:rFonts w:hint="eastAsia" w:ascii="宋体" w:hAnsi="宋体"/>
          <w:sz w:val="24"/>
          <w:highlight w:val="none"/>
        </w:rPr>
        <w:t>（加盖单位公章）</w:t>
      </w:r>
      <w:r>
        <w:rPr>
          <w:rFonts w:hint="eastAsia" w:ascii="宋体" w:hAnsi="宋体" w:eastAsia="宋体" w:cs="Times New Roman"/>
          <w:color w:val="auto"/>
          <w:sz w:val="24"/>
          <w:highlight w:val="none"/>
          <w:u w:val="none"/>
          <w:lang w:val="en-US" w:eastAsia="zh-CN"/>
        </w:rPr>
        <w:t>。</w:t>
      </w:r>
    </w:p>
    <w:p>
      <w:pPr>
        <w:pageBreakBefore w:val="0"/>
        <w:kinsoku/>
        <w:wordWrap/>
        <w:overflowPunct/>
        <w:topLinePunct w:val="0"/>
        <w:autoSpaceDE/>
        <w:autoSpaceDN/>
        <w:bidi w:val="0"/>
        <w:adjustRightInd/>
        <w:snapToGrid/>
        <w:spacing w:line="360" w:lineRule="auto"/>
        <w:ind w:firstLine="482" w:firstLineChars="200"/>
        <w:rPr>
          <w:rFonts w:hint="eastAsia" w:ascii="宋体" w:hAnsi="宋体"/>
          <w:b/>
          <w:sz w:val="24"/>
          <w:highlight w:val="none"/>
        </w:rPr>
      </w:pPr>
      <w:bookmarkStart w:id="16" w:name="_Toc234382574"/>
      <w:bookmarkStart w:id="17" w:name="_Toc243796164"/>
      <w:bookmarkStart w:id="18" w:name="_Toc245379320"/>
      <w:bookmarkStart w:id="19" w:name="_Toc344732470"/>
      <w:r>
        <w:rPr>
          <w:rFonts w:hint="eastAsia" w:ascii="宋体" w:hAnsi="宋体"/>
          <w:b/>
          <w:sz w:val="24"/>
          <w:highlight w:val="none"/>
        </w:rPr>
        <w:t>第一次已购买</w:t>
      </w:r>
      <w:r>
        <w:rPr>
          <w:rFonts w:hint="eastAsia" w:ascii="宋体" w:hAnsi="宋体"/>
          <w:b/>
          <w:sz w:val="24"/>
          <w:highlight w:val="none"/>
          <w:lang w:val="en-US" w:eastAsia="zh-CN"/>
        </w:rPr>
        <w:t>选择</w:t>
      </w:r>
      <w:r>
        <w:rPr>
          <w:rFonts w:hint="eastAsia" w:ascii="宋体" w:hAnsi="宋体"/>
          <w:b/>
          <w:sz w:val="24"/>
          <w:highlight w:val="none"/>
        </w:rPr>
        <w:t>文件的</w:t>
      </w:r>
      <w:r>
        <w:rPr>
          <w:rFonts w:hint="eastAsia" w:ascii="宋体" w:hAnsi="宋体"/>
          <w:b/>
          <w:sz w:val="24"/>
          <w:highlight w:val="none"/>
          <w:lang w:val="en-US" w:eastAsia="zh-CN"/>
        </w:rPr>
        <w:t>供应商</w:t>
      </w:r>
      <w:r>
        <w:rPr>
          <w:rFonts w:hint="eastAsia" w:ascii="宋体" w:hAnsi="宋体"/>
          <w:b/>
          <w:sz w:val="24"/>
          <w:highlight w:val="none"/>
        </w:rPr>
        <w:t>无需再次购买</w:t>
      </w:r>
      <w:r>
        <w:rPr>
          <w:rFonts w:hint="eastAsia" w:ascii="宋体" w:hAnsi="宋体"/>
          <w:b/>
          <w:sz w:val="24"/>
          <w:highlight w:val="none"/>
          <w:lang w:val="en-US" w:eastAsia="zh-CN"/>
        </w:rPr>
        <w:t>二次选择</w:t>
      </w:r>
      <w:r>
        <w:rPr>
          <w:rFonts w:hint="eastAsia" w:ascii="宋体" w:hAnsi="宋体"/>
          <w:b/>
          <w:sz w:val="24"/>
          <w:highlight w:val="none"/>
        </w:rPr>
        <w:t>文件。</w:t>
      </w:r>
      <w:r>
        <w:rPr>
          <w:rFonts w:hint="eastAsia" w:ascii="宋体" w:hAnsi="宋体"/>
          <w:b/>
          <w:sz w:val="24"/>
          <w:highlight w:val="none"/>
          <w:lang w:val="en-US" w:eastAsia="zh-CN"/>
        </w:rPr>
        <w:t>将报名所需的报名材料发至</w:t>
      </w:r>
      <w:r>
        <w:rPr>
          <w:rFonts w:hint="eastAsia" w:ascii="宋体" w:hAnsi="宋体" w:eastAsia="宋体" w:cs="Times New Roman"/>
          <w:color w:val="auto"/>
          <w:sz w:val="24"/>
          <w:highlight w:val="none"/>
          <w:u w:val="none"/>
          <w:lang w:val="en-US" w:eastAsia="zh-CN"/>
        </w:rPr>
        <w:t>邮箱：</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fldChar w:fldCharType="begin"/>
      </w:r>
      <w:r>
        <w:rPr>
          <w:rFonts w:hint="eastAsia" w:ascii="宋体" w:hAnsi="宋体" w:eastAsia="宋体" w:cs="Times New Roman"/>
          <w:color w:val="auto"/>
          <w:sz w:val="24"/>
          <w:highlight w:val="none"/>
          <w:u w:val="single"/>
          <w:lang w:val="en-US" w:eastAsia="zh-CN"/>
        </w:rPr>
        <w:instrText xml:space="preserve"> HYPERLINK "mailto:864794732@qq.COM即可。" </w:instrText>
      </w:r>
      <w:r>
        <w:rPr>
          <w:rFonts w:hint="eastAsia" w:ascii="宋体" w:hAnsi="宋体" w:eastAsia="宋体" w:cs="Times New Roman"/>
          <w:color w:val="auto"/>
          <w:sz w:val="24"/>
          <w:highlight w:val="none"/>
          <w:u w:val="single"/>
          <w:lang w:val="en-US" w:eastAsia="zh-CN"/>
        </w:rPr>
        <w:fldChar w:fldCharType="separate"/>
      </w:r>
      <w:r>
        <w:rPr>
          <w:rFonts w:hint="eastAsia" w:ascii="宋体" w:hAnsi="宋体" w:eastAsia="宋体" w:cs="Times New Roman"/>
          <w:color w:val="auto"/>
          <w:sz w:val="24"/>
          <w:highlight w:val="none"/>
          <w:u w:val="single"/>
          <w:lang w:val="en-US" w:eastAsia="zh-CN"/>
        </w:rPr>
        <w:t>631124547@qq.com</w:t>
      </w:r>
      <w:r>
        <w:rPr>
          <w:rStyle w:val="10"/>
          <w:rFonts w:hint="eastAsia" w:ascii="宋体" w:hAnsi="宋体" w:eastAsia="宋体" w:cs="Times New Roman"/>
          <w:sz w:val="24"/>
          <w:highlight w:val="none"/>
          <w:lang w:val="en-US" w:eastAsia="zh-CN"/>
        </w:rPr>
        <w:t>即可。</w:t>
      </w:r>
      <w:r>
        <w:rPr>
          <w:rFonts w:hint="eastAsia" w:ascii="宋体" w:hAnsi="宋体" w:eastAsia="宋体" w:cs="Times New Roman"/>
          <w:color w:val="auto"/>
          <w:sz w:val="24"/>
          <w:highlight w:val="none"/>
          <w:u w:val="single"/>
          <w:lang w:val="en-US" w:eastAsia="zh-CN"/>
        </w:rPr>
        <w:fldChar w:fldCharType="end"/>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5.</w:t>
      </w:r>
      <w:r>
        <w:rPr>
          <w:rFonts w:hint="eastAsia" w:ascii="宋体" w:hAnsi="宋体"/>
          <w:b/>
          <w:sz w:val="24"/>
          <w:highlight w:val="none"/>
          <w:lang w:val="en-US" w:eastAsia="zh-CN"/>
        </w:rPr>
        <w:t>选择</w:t>
      </w:r>
      <w:r>
        <w:rPr>
          <w:rFonts w:hint="eastAsia" w:ascii="宋体" w:hAnsi="宋体"/>
          <w:b/>
          <w:sz w:val="24"/>
          <w:highlight w:val="none"/>
        </w:rPr>
        <w:t>承诺文件的递交</w:t>
      </w:r>
      <w:bookmarkEnd w:id="16"/>
      <w:r>
        <w:rPr>
          <w:rFonts w:hint="eastAsia" w:ascii="宋体" w:hAnsi="宋体"/>
          <w:b/>
          <w:sz w:val="24"/>
          <w:highlight w:val="none"/>
        </w:rPr>
        <w:t>及相关事宜</w:t>
      </w:r>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6</w:t>
      </w:r>
      <w:r>
        <w:rPr>
          <w:rFonts w:hint="eastAsia" w:ascii="宋体" w:hAnsi="宋体"/>
          <w:sz w:val="24"/>
          <w:highlight w:val="none"/>
        </w:rPr>
        <w:t>月</w:t>
      </w:r>
      <w:r>
        <w:rPr>
          <w:rFonts w:hint="eastAsia" w:ascii="宋体" w:hAnsi="宋体"/>
          <w:sz w:val="24"/>
          <w:highlight w:val="none"/>
          <w:u w:val="single"/>
          <w:lang w:val="en-US" w:eastAsia="zh-CN"/>
        </w:rPr>
        <w:t>4</w:t>
      </w:r>
      <w:r>
        <w:rPr>
          <w:rFonts w:hint="eastAsia" w:ascii="宋体" w:hAnsi="宋体"/>
          <w:sz w:val="24"/>
          <w:highlight w:val="none"/>
        </w:rPr>
        <w:t>日</w:t>
      </w:r>
      <w:r>
        <w:rPr>
          <w:rFonts w:hint="eastAsia" w:ascii="宋体" w:hAnsi="宋体"/>
          <w:sz w:val="24"/>
          <w:highlight w:val="none"/>
          <w:lang w:val="en-US" w:eastAsia="zh-CN"/>
        </w:rPr>
        <w:t>9</w:t>
      </w:r>
      <w:r>
        <w:rPr>
          <w:rFonts w:hint="eastAsia" w:ascii="宋体" w:hAnsi="宋体"/>
          <w:sz w:val="24"/>
          <w:highlight w:val="none"/>
        </w:rPr>
        <w:t>:</w:t>
      </w:r>
      <w:r>
        <w:rPr>
          <w:rFonts w:hint="eastAsia" w:ascii="宋体" w:hAnsi="宋体"/>
          <w:sz w:val="24"/>
          <w:highlight w:val="none"/>
          <w:lang w:val="en-US" w:eastAsia="zh-CN"/>
        </w:rPr>
        <w:t>00时</w:t>
      </w:r>
      <w:r>
        <w:rPr>
          <w:rFonts w:hint="eastAsia" w:ascii="宋体" w:hAnsi="宋体"/>
          <w:sz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color w:val="00B050"/>
          <w:sz w:val="24"/>
          <w:highlight w:val="none"/>
          <w:u w:val="single"/>
        </w:rPr>
        <w:t>南平市建阳区翠屏路112号云谷小区二期崇和里112-11到18号店</w:t>
      </w:r>
      <w:r>
        <w:rPr>
          <w:rFonts w:hint="eastAsia" w:ascii="宋体" w:hAnsi="宋体"/>
          <w:color w:val="00B050"/>
          <w:sz w:val="24"/>
          <w:highlight w:val="none"/>
          <w:u w:val="single"/>
          <w:lang w:val="en-US" w:eastAsia="zh-CN"/>
        </w:rPr>
        <w:t>晖源开标室</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经评审的最低价法（当最低报价相同时采取随机抽取法确定中选人） </w:t>
      </w:r>
      <w:r>
        <w:rPr>
          <w:rFonts w:hint="eastAsia" w:ascii="宋体" w:hAnsi="宋体"/>
          <w:b/>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pageBreakBefore w:val="0"/>
        <w:kinsoku/>
        <w:wordWrap/>
        <w:overflowPunct/>
        <w:topLinePunct w:val="0"/>
        <w:autoSpaceDE/>
        <w:autoSpaceDN/>
        <w:bidi w:val="0"/>
        <w:adjustRightInd/>
        <w:snapToGrid/>
        <w:spacing w:line="360" w:lineRule="auto"/>
        <w:ind w:firstLine="480" w:firstLineChars="200"/>
        <w:rPr>
          <w:rFonts w:hint="eastAsia" w:eastAsia="宋体"/>
          <w:highlight w:val="none"/>
          <w:lang w:val="en-US" w:eastAsia="zh-CN"/>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lang w:val="en-US" w:eastAsia="zh-CN"/>
        </w:rPr>
        <w:fldChar w:fldCharType="begin"/>
      </w:r>
      <w:r>
        <w:rPr>
          <w:rFonts w:hint="eastAsia" w:ascii="宋体" w:hAnsi="宋体" w:eastAsia="宋体" w:cs="宋体"/>
          <w:color w:val="FF0000"/>
          <w:sz w:val="24"/>
          <w:highlight w:val="none"/>
          <w:u w:val="single"/>
          <w:lang w:val="en-US" w:eastAsia="zh-CN"/>
        </w:rPr>
        <w:instrText xml:space="preserve"> = 250000 \* CHINESENUM4 \* MERGEFORMAT </w:instrText>
      </w:r>
      <w:r>
        <w:rPr>
          <w:rFonts w:hint="eastAsia" w:ascii="宋体" w:hAnsi="宋体" w:eastAsia="宋体" w:cs="宋体"/>
          <w:color w:val="FF0000"/>
          <w:sz w:val="24"/>
          <w:highlight w:val="none"/>
          <w:u w:val="single"/>
          <w:lang w:val="en-US" w:eastAsia="zh-CN"/>
        </w:rPr>
        <w:fldChar w:fldCharType="separate"/>
      </w:r>
      <w:r>
        <w:rPr>
          <w:rFonts w:hint="eastAsia" w:ascii="宋体" w:hAnsi="宋体" w:eastAsia="宋体" w:cs="宋体"/>
          <w:color w:val="FF0000"/>
          <w:sz w:val="24"/>
          <w:highlight w:val="none"/>
          <w:u w:val="single"/>
          <w:lang w:val="en-US" w:eastAsia="zh-CN"/>
        </w:rPr>
        <w:t>壹拾万元整</w:t>
      </w:r>
      <w:r>
        <w:rPr>
          <w:rFonts w:hint="eastAsia" w:ascii="宋体" w:hAnsi="宋体" w:eastAsia="宋体" w:cs="宋体"/>
          <w:color w:val="FF0000"/>
          <w:sz w:val="24"/>
          <w:highlight w:val="none"/>
          <w:u w:val="single"/>
          <w:lang w:val="en-US" w:eastAsia="zh-CN"/>
        </w:rPr>
        <w:fldChar w:fldCharType="end"/>
      </w:r>
      <w:r>
        <w:rPr>
          <w:rFonts w:hint="eastAsia" w:ascii="宋体" w:hAnsi="宋体" w:cs="宋体"/>
          <w:color w:val="FF0000"/>
          <w:sz w:val="24"/>
          <w:highlight w:val="none"/>
        </w:rPr>
        <w:t>（¥</w:t>
      </w:r>
      <w:r>
        <w:rPr>
          <w:rFonts w:hint="eastAsia" w:ascii="宋体" w:hAnsi="宋体" w:cs="宋体"/>
          <w:color w:val="FF0000"/>
          <w:sz w:val="24"/>
          <w:highlight w:val="none"/>
          <w:u w:val="single"/>
          <w:lang w:val="en-US" w:eastAsia="zh-CN"/>
        </w:rPr>
        <w:t>100000</w:t>
      </w:r>
      <w:r>
        <w:rPr>
          <w:rFonts w:hint="eastAsia" w:ascii="宋体" w:hAnsi="宋体" w:cs="宋体"/>
          <w:color w:val="FF0000"/>
          <w:sz w:val="24"/>
          <w:highlight w:val="none"/>
        </w:rPr>
        <w:t>元）</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s="黑体"/>
          <w:kern w:val="0"/>
          <w:sz w:val="24"/>
          <w:highlight w:val="none"/>
        </w:rPr>
      </w:pPr>
      <w:r>
        <w:rPr>
          <w:rFonts w:hint="eastAsia" w:ascii="宋体" w:hAnsi="宋体" w:eastAsia="宋体" w:cs="宋体"/>
          <w:color w:val="auto"/>
          <w:sz w:val="24"/>
          <w:szCs w:val="24"/>
          <w:highlight w:val="none"/>
        </w:rPr>
        <w:t>①现金形式:</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pStyle w:val="2"/>
        <w:pageBreakBefore w:val="0"/>
        <w:kinsoku/>
        <w:wordWrap/>
        <w:overflowPunct/>
        <w:topLinePunct w:val="0"/>
        <w:autoSpaceDE/>
        <w:autoSpaceDN/>
        <w:bidi w:val="0"/>
        <w:adjustRightInd/>
        <w:snapToGrid/>
        <w:spacing w:line="360" w:lineRule="auto"/>
        <w:rPr>
          <w:rFonts w:hint="eastAsia" w:eastAsia="宋体"/>
          <w:highlight w:val="none"/>
          <w:lang w:eastAsia="zh-CN"/>
        </w:rPr>
      </w:pPr>
      <w:r>
        <w:rPr>
          <w:rFonts w:hint="eastAsia" w:ascii="宋体" w:hAnsi="宋体" w:cs="宋体"/>
          <w:color w:val="000000"/>
          <w:sz w:val="24"/>
          <w:szCs w:val="24"/>
          <w:highlight w:val="none"/>
        </w:rPr>
        <w:t>②投标人以银行保函形式提交投标保证金的，</w:t>
      </w:r>
      <w:r>
        <w:rPr>
          <w:rFonts w:hint="eastAsia" w:ascii="宋体" w:hAnsi="宋体" w:cs="宋体"/>
          <w:color w:val="000000"/>
          <w:sz w:val="24"/>
          <w:highlight w:val="none"/>
        </w:rPr>
        <w:t>投标人应将银行保函原件随同投标文件一并</w:t>
      </w:r>
      <w:r>
        <w:rPr>
          <w:rFonts w:hint="eastAsia" w:ascii="宋体" w:hAnsi="宋体" w:cs="宋体"/>
          <w:color w:val="000000"/>
          <w:sz w:val="24"/>
          <w:szCs w:val="24"/>
          <w:highlight w:val="none"/>
        </w:rPr>
        <w:t>递交</w:t>
      </w:r>
      <w:r>
        <w:rPr>
          <w:rFonts w:hint="eastAsia" w:ascii="宋体" w:hAnsi="宋体" w:cs="宋体"/>
          <w:color w:val="000000"/>
          <w:sz w:val="24"/>
          <w:szCs w:val="24"/>
          <w:highlight w:val="none"/>
          <w:lang w:eastAsia="zh-CN"/>
        </w:rPr>
        <w:t>。</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日17:00时前。</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pageBreakBefore w:val="0"/>
        <w:kinsoku/>
        <w:wordWrap/>
        <w:overflowPunct/>
        <w:topLinePunct w:val="0"/>
        <w:autoSpaceDE/>
        <w:autoSpaceDN/>
        <w:bidi w:val="0"/>
        <w:adjustRightInd/>
        <w:snapToGrid/>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ascii="宋体" w:hAnsi="宋体" w:cs="宋体"/>
          <w:sz w:val="24"/>
          <w:highlight w:val="none"/>
          <w:u w:val="single"/>
          <w:lang w:val="en-US" w:eastAsia="zh-CN"/>
        </w:rPr>
        <w:t>A、B</w:t>
      </w:r>
      <w:r>
        <w:rPr>
          <w:rFonts w:hint="eastAsia" w:ascii="宋体" w:hAnsi="宋体" w:cs="宋体"/>
          <w:b/>
          <w:bCs/>
          <w:sz w:val="24"/>
          <w:highlight w:val="none"/>
          <w:u w:val="single"/>
          <w:lang w:val="en-US" w:eastAsia="zh-CN"/>
        </w:rPr>
        <w:t>钢材供应商二次选择</w:t>
      </w:r>
      <w:r>
        <w:rPr>
          <w:rFonts w:hint="eastAsia" w:ascii="宋体" w:hAnsi="宋体" w:cs="宋体"/>
          <w:b/>
          <w:bCs/>
          <w:sz w:val="24"/>
          <w:highlight w:val="none"/>
          <w:u w:val="single"/>
        </w:rPr>
        <w:t>承诺保证金</w:t>
      </w:r>
      <w:r>
        <w:rPr>
          <w:rFonts w:hint="eastAsia" w:ascii="宋体" w:hAnsi="宋体" w:cs="宋体"/>
          <w:b/>
          <w:sz w:val="24"/>
          <w:highlight w:val="none"/>
          <w:u w:val="single"/>
        </w:rPr>
        <w:t>”</w:t>
      </w:r>
      <w:r>
        <w:rPr>
          <w:rFonts w:hint="eastAsia" w:ascii="宋体" w:hAnsi="宋体" w:cs="宋体"/>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以现金形式提交的</w:t>
      </w:r>
      <w:r>
        <w:rPr>
          <w:rFonts w:hint="eastAsia" w:ascii="宋体" w:hAnsi="宋体" w:cs="宋体"/>
          <w:sz w:val="24"/>
          <w:highlight w:val="none"/>
        </w:rPr>
        <w:t>如因承诺人汇款凭证未注明项目名称造成选择人无法识别承诺保证金到账情况或识别错误的，其责任由承诺人自行承担。</w:t>
      </w:r>
    </w:p>
    <w:p>
      <w:pPr>
        <w:pageBreakBefore w:val="0"/>
        <w:tabs>
          <w:tab w:val="left" w:pos="1134"/>
        </w:tabs>
        <w:kinsoku/>
        <w:wordWrap/>
        <w:overflowPunct/>
        <w:topLinePunct w:val="0"/>
        <w:autoSpaceDE/>
        <w:autoSpaceDN/>
        <w:bidi w:val="0"/>
        <w:adjustRightInd/>
        <w:snapToGrid/>
        <w:spacing w:line="360" w:lineRule="auto"/>
        <w:ind w:left="426"/>
        <w:rPr>
          <w:rFonts w:hint="eastAsia"/>
          <w:sz w:val="24"/>
          <w:highlight w:val="none"/>
        </w:rPr>
      </w:pPr>
      <w:r>
        <w:rPr>
          <w:rFonts w:hint="eastAsia" w:ascii="宋体" w:hAnsi="宋体" w:cs="宋体"/>
          <w:sz w:val="24"/>
          <w:highlight w:val="none"/>
        </w:rPr>
        <w:t>7.4承诺保证金有效期同承诺有效期</w:t>
      </w:r>
      <w:r>
        <w:rPr>
          <w:rFonts w:hint="eastAsia" w:ascii="宋体" w:hAnsi="宋体" w:cs="宋体"/>
          <w:sz w:val="24"/>
          <w:highlight w:val="none"/>
          <w:lang w:eastAsia="zh-CN"/>
        </w:rPr>
        <w:t>，</w:t>
      </w:r>
      <w:r>
        <w:rPr>
          <w:rFonts w:hint="eastAsia" w:ascii="宋体" w:hAnsi="宋体" w:cs="宋体"/>
          <w:sz w:val="24"/>
          <w:highlight w:val="none"/>
        </w:rPr>
        <w:t>未按规定提</w:t>
      </w:r>
      <w:r>
        <w:rPr>
          <w:rFonts w:hint="eastAsia" w:ascii="宋体" w:hAnsi="宋体" w:cs="宋体"/>
          <w:b w:val="0"/>
          <w:bCs w:val="0"/>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pStyle w:val="7"/>
        <w:ind w:left="0" w:leftChars="0" w:firstLine="480" w:firstLineChars="200"/>
      </w:pPr>
      <w:r>
        <w:rPr>
          <w:rFonts w:hint="eastAsia" w:ascii="宋体" w:hAnsi="宋体" w:cs="宋体"/>
          <w:kern w:val="2"/>
          <w:sz w:val="24"/>
          <w:szCs w:val="24"/>
          <w:highlight w:val="none"/>
          <w:lang w:val="en-US" w:eastAsia="zh-CN" w:bidi="ar-SA"/>
        </w:rPr>
        <w:t>7.5第一次已提交承诺保证金的承诺人参加二次选择活动的，其承诺保证金时效顺延。</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pageBreakBefore w:val="0"/>
        <w:tabs>
          <w:tab w:val="left" w:pos="360"/>
        </w:tabs>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pageBreakBefore w:val="0"/>
        <w:kinsoku/>
        <w:wordWrap/>
        <w:overflowPunct/>
        <w:topLinePunct w:val="0"/>
        <w:autoSpaceDE/>
        <w:autoSpaceDN/>
        <w:bidi w:val="0"/>
        <w:adjustRightInd/>
        <w:snapToGrid/>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pacing w:line="360" w:lineRule="auto"/>
        <w:ind w:firstLine="482" w:firstLineChars="200"/>
        <w:rPr>
          <w:rFonts w:hint="eastAsia" w:ascii="宋体" w:hAnsi="宋体"/>
          <w:b/>
          <w:sz w:val="24"/>
          <w:highlight w:val="none"/>
        </w:rPr>
      </w:pPr>
      <w:bookmarkStart w:id="20" w:name="_Toc234382576"/>
    </w:p>
    <w:p>
      <w:pPr>
        <w:spacing w:line="360" w:lineRule="auto"/>
        <w:ind w:firstLine="482" w:firstLineChars="200"/>
        <w:rPr>
          <w:rFonts w:ascii="宋体" w:hAnsi="宋体"/>
          <w:b/>
          <w:sz w:val="24"/>
          <w:highlight w:val="none"/>
        </w:rPr>
      </w:pPr>
      <w:r>
        <w:rPr>
          <w:rFonts w:hint="eastAsia" w:ascii="宋体" w:hAnsi="宋体"/>
          <w:b/>
          <w:sz w:val="24"/>
          <w:highlight w:val="none"/>
        </w:rPr>
        <w:t>10.选择人联系方式</w:t>
      </w:r>
      <w:bookmarkEnd w:id="20"/>
    </w:p>
    <w:p>
      <w:pPr>
        <w:spacing w:line="360" w:lineRule="auto"/>
        <w:ind w:firstLine="480" w:firstLineChars="200"/>
        <w:rPr>
          <w:rFonts w:hint="eastAsia"/>
          <w:sz w:val="24"/>
          <w:highlight w:val="none"/>
        </w:rPr>
      </w:pPr>
      <w:r>
        <w:rPr>
          <w:rFonts w:hint="eastAsia"/>
          <w:sz w:val="24"/>
          <w:highlight w:val="none"/>
        </w:rPr>
        <w:t>选 择</w:t>
      </w:r>
      <w:r>
        <w:rPr>
          <w:sz w:val="24"/>
          <w:highlight w:val="none"/>
        </w:rPr>
        <w:t xml:space="preserve"> </w:t>
      </w:r>
      <w:r>
        <w:rPr>
          <w:rFonts w:hint="eastAsia"/>
          <w:sz w:val="24"/>
          <w:highlight w:val="none"/>
        </w:rPr>
        <w:t>人：南平建设集团信达供应链有限公司</w:t>
      </w:r>
    </w:p>
    <w:p>
      <w:pPr>
        <w:spacing w:line="360" w:lineRule="auto"/>
        <w:ind w:firstLine="480" w:firstLineChars="200"/>
        <w:rPr>
          <w:rFonts w:hint="eastAsia" w:eastAsia="宋体"/>
          <w:sz w:val="24"/>
          <w:highlight w:val="none"/>
          <w:lang w:val="en-US"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pacing w:line="360" w:lineRule="auto"/>
        <w:ind w:firstLine="480" w:firstLineChars="200"/>
        <w:rPr>
          <w:rFonts w:hint="eastAsia" w:eastAsia="宋体"/>
          <w:sz w:val="24"/>
          <w:highlight w:val="none"/>
          <w:lang w:val="en-US" w:eastAsia="zh-CN"/>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w:t>
      </w:r>
      <w:r>
        <w:rPr>
          <w:rFonts w:hint="eastAsia"/>
          <w:sz w:val="24"/>
          <w:highlight w:val="none"/>
          <w:lang w:val="en-US" w:eastAsia="zh-CN"/>
        </w:rPr>
        <w:t>陈先生</w:t>
      </w:r>
    </w:p>
    <w:p>
      <w:pPr>
        <w:spacing w:line="360" w:lineRule="auto"/>
        <w:ind w:firstLine="480" w:firstLineChars="200"/>
        <w:rPr>
          <w:rFonts w:hint="eastAsia"/>
          <w:sz w:val="24"/>
          <w:highlight w:val="none"/>
        </w:rPr>
      </w:pPr>
      <w:r>
        <w:rPr>
          <w:rFonts w:hint="eastAsia"/>
          <w:sz w:val="24"/>
          <w:highlight w:val="none"/>
        </w:rPr>
        <w:t>电    话：18659972856</w:t>
      </w:r>
    </w:p>
    <w:p>
      <w:pPr>
        <w:pStyle w:val="7"/>
        <w:spacing w:line="360" w:lineRule="auto"/>
        <w:ind w:left="420"/>
        <w:rPr>
          <w:rFonts w:hint="eastAsia"/>
          <w:sz w:val="24"/>
          <w:highlight w:val="none"/>
        </w:rPr>
      </w:pPr>
    </w:p>
    <w:p>
      <w:pPr>
        <w:spacing w:line="360" w:lineRule="auto"/>
        <w:ind w:firstLine="480" w:firstLineChars="200"/>
        <w:rPr>
          <w:sz w:val="24"/>
          <w:highlight w:val="none"/>
        </w:rPr>
      </w:pPr>
      <w:r>
        <w:rPr>
          <w:sz w:val="24"/>
          <w:highlight w:val="none"/>
        </w:rPr>
        <w:t>委托代理人：福建晖源工程咨询有限公司</w:t>
      </w:r>
    </w:p>
    <w:p>
      <w:pPr>
        <w:spacing w:line="360" w:lineRule="auto"/>
        <w:ind w:firstLine="480" w:firstLineChars="200"/>
        <w:rPr>
          <w:sz w:val="24"/>
          <w:highlight w:val="none"/>
        </w:rPr>
      </w:pPr>
      <w:r>
        <w:rPr>
          <w:sz w:val="24"/>
          <w:highlight w:val="none"/>
        </w:rPr>
        <w:t>地址：</w:t>
      </w:r>
      <w:r>
        <w:rPr>
          <w:rFonts w:hint="eastAsia" w:ascii="宋体" w:hAnsi="宋体"/>
          <w:color w:val="auto"/>
          <w:sz w:val="24"/>
          <w:highlight w:val="none"/>
          <w:lang w:val="en-US" w:eastAsia="zh-CN"/>
        </w:rPr>
        <w:t>福建省南平市</w:t>
      </w:r>
      <w:r>
        <w:rPr>
          <w:rFonts w:hint="eastAsia" w:ascii="宋体" w:hAnsi="宋体"/>
          <w:color w:val="auto"/>
          <w:sz w:val="24"/>
          <w:highlight w:val="none"/>
        </w:rPr>
        <w:t>建阳区顺昌街213号祥乐苑15幢一层</w:t>
      </w:r>
    </w:p>
    <w:p>
      <w:pPr>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pacing w:line="360" w:lineRule="auto"/>
        <w:ind w:firstLine="480" w:firstLineChars="200"/>
        <w:rPr>
          <w:sz w:val="24"/>
          <w:highlight w:val="none"/>
        </w:rPr>
      </w:pPr>
      <w:r>
        <w:rPr>
          <w:sz w:val="24"/>
          <w:highlight w:val="none"/>
        </w:rPr>
        <w:t>电话：</w:t>
      </w:r>
      <w:r>
        <w:rPr>
          <w:rFonts w:hint="eastAsia" w:ascii="宋体" w:hAnsi="宋体"/>
          <w:sz w:val="24"/>
          <w:highlight w:val="none"/>
        </w:rPr>
        <w:t>0599-5622667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60431"/>
    <w:multiLevelType w:val="singleLevel"/>
    <w:tmpl w:val="449604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27CAE"/>
    <w:rsid w:val="3152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uiPriority w:val="0"/>
    <w:pPr>
      <w:ind w:firstLine="420" w:firstLineChars="200"/>
    </w:pPr>
  </w:style>
  <w:style w:type="paragraph" w:styleId="3">
    <w:name w:val="header"/>
    <w:basedOn w:val="1"/>
    <w:next w:val="2"/>
    <w:uiPriority w:val="0"/>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uiPriority w:val="0"/>
    <w:pPr>
      <w:spacing w:after="120" w:afterLines="0"/>
      <w:ind w:left="200" w:leftChars="200"/>
    </w:pPr>
  </w:style>
  <w:style w:type="paragraph" w:styleId="7">
    <w:name w:val="Body Text First Indent 2"/>
    <w:basedOn w:val="6"/>
    <w:next w:val="8"/>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8">
    <w:name w:val="样式 标题 3 + (中文) 黑体 小四 非加粗 段前: 7.8 磅 段后: 0 磅 行距: 固定值 20 磅"/>
    <w:basedOn w:val="5"/>
    <w:uiPriority w:val="0"/>
    <w:pPr>
      <w:spacing w:line="400" w:lineRule="exact"/>
    </w:pPr>
    <w:rPr>
      <w:rFonts w:eastAsia="黑体"/>
      <w:b w:val="0"/>
      <w:bCs w:val="0"/>
      <w:szCs w:val="20"/>
    </w:rPr>
  </w:style>
  <w:style w:type="character" w:styleId="10">
    <w:name w:val="Hyperlink"/>
    <w:basedOn w:val="9"/>
    <w:uiPriority w:val="99"/>
    <w:rPr>
      <w:color w:val="000000"/>
      <w:u w:val="none"/>
    </w:rPr>
  </w:style>
  <w:style w:type="paragraph" w:customStyle="1" w:styleId="12">
    <w:name w:val="MSG_EN_FONT_STYLE_NAME_TEMPLATE_ROLE_NUMBER MSG_EN_FONT_STYLE_NAME_BY_ROLE_TEXT 7"/>
    <w:basedOn w:val="1"/>
    <w:uiPriority w:val="0"/>
    <w:pPr>
      <w:shd w:val="clear" w:color="auto" w:fill="FFFFFF"/>
      <w:spacing w:before="340" w:after="220" w:line="200" w:lineRule="exact"/>
      <w:jc w:val="distribute"/>
    </w:pPr>
    <w:rPr>
      <w:rFonts w:ascii="宋体" w:hAnsi="宋体" w:eastAsia="宋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2024-05-30T02:29:00Z</dcterms:created>
  <dc:creator>WPS_1636936302</dc:creator>
  <cp:lastModifiedBy>WPS_1636936302</cp:lastModifiedBy>
  <dcterms:modified xsi:type="dcterms:W3CDTF">2024-05-30T02:31:25Z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