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s>
        <w:ind w:firstLine="720" w:firstLineChars="200"/>
        <w:jc w:val="center"/>
        <w:outlineLvl w:val="1"/>
        <w:rPr>
          <w:rStyle w:val="15"/>
          <w:rFonts w:hint="eastAsia" w:ascii="仿宋_GB2312" w:hAnsi="仿宋" w:eastAsia="仿宋_GB2312" w:cs="Calibri"/>
          <w:b/>
          <w:bCs/>
          <w:color w:val="000000" w:themeColor="text1"/>
          <w:sz w:val="36"/>
          <w:szCs w:val="28"/>
          <w:lang w:val="en-US" w:eastAsia="zh-CN"/>
          <w14:textFill>
            <w14:solidFill>
              <w14:schemeClr w14:val="tx1"/>
            </w14:solidFill>
          </w14:textFill>
        </w:rPr>
      </w:pPr>
      <w:bookmarkStart w:id="0" w:name="_Toc12333"/>
      <w:r>
        <w:rPr>
          <w:rStyle w:val="15"/>
          <w:rFonts w:hint="eastAsia" w:ascii="仿宋_GB2312" w:hAnsi="仿宋" w:eastAsia="仿宋_GB2312" w:cs="Calibri"/>
          <w:b/>
          <w:bCs/>
          <w:color w:val="000000" w:themeColor="text1"/>
          <w:sz w:val="36"/>
          <w:szCs w:val="28"/>
          <w14:textFill>
            <w14:solidFill>
              <w14:schemeClr w14:val="tx1"/>
            </w14:solidFill>
          </w14:textFill>
        </w:rPr>
        <w:t>南平武夷信息技术有限公司</w:t>
      </w:r>
      <w:r>
        <w:rPr>
          <w:rStyle w:val="15"/>
          <w:rFonts w:hint="eastAsia" w:ascii="仿宋_GB2312" w:hAnsi="仿宋" w:eastAsia="仿宋_GB2312" w:cs="Calibri"/>
          <w:b/>
          <w:bCs/>
          <w:color w:val="000000" w:themeColor="text1"/>
          <w:sz w:val="36"/>
          <w:szCs w:val="28"/>
          <w:lang w:val="en-US" w:eastAsia="zh-CN"/>
          <w14:textFill>
            <w14:solidFill>
              <w14:schemeClr w14:val="tx1"/>
            </w14:solidFill>
          </w14:textFill>
        </w:rPr>
        <w:t>项目技术咨询服务</w:t>
      </w:r>
    </w:p>
    <w:p>
      <w:pPr>
        <w:tabs>
          <w:tab w:val="left" w:pos="6804"/>
        </w:tabs>
        <w:ind w:firstLine="720" w:firstLineChars="200"/>
        <w:jc w:val="center"/>
        <w:outlineLvl w:val="1"/>
        <w:rPr>
          <w:rStyle w:val="15"/>
          <w:rFonts w:ascii="仿宋_GB2312" w:hAnsi="仿宋" w:eastAsia="仿宋_GB2312" w:cs="Calibri"/>
          <w:b/>
          <w:bCs/>
          <w:color w:val="000000" w:themeColor="text1"/>
          <w:sz w:val="36"/>
          <w:szCs w:val="28"/>
          <w14:textFill>
            <w14:solidFill>
              <w14:schemeClr w14:val="tx1"/>
            </w14:solidFill>
          </w14:textFill>
        </w:rPr>
      </w:pPr>
      <w:r>
        <w:rPr>
          <w:rStyle w:val="15"/>
          <w:rFonts w:hint="eastAsia" w:ascii="仿宋_GB2312" w:hAnsi="仿宋" w:eastAsia="仿宋_GB2312" w:cs="Calibri"/>
          <w:b/>
          <w:bCs/>
          <w:color w:val="000000" w:themeColor="text1"/>
          <w:sz w:val="36"/>
          <w:szCs w:val="28"/>
          <w14:textFill>
            <w14:solidFill>
              <w14:schemeClr w14:val="tx1"/>
            </w14:solidFill>
          </w14:textFill>
        </w:rPr>
        <w:t>比选公告</w:t>
      </w:r>
    </w:p>
    <w:p>
      <w:pPr>
        <w:tabs>
          <w:tab w:val="left" w:pos="6804"/>
        </w:tabs>
        <w:ind w:firstLine="560" w:firstLineChars="200"/>
        <w:outlineLvl w:val="1"/>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一、比选</w:t>
      </w:r>
      <w:bookmarkEnd w:id="0"/>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方式</w:t>
      </w:r>
    </w:p>
    <w:p>
      <w:pPr>
        <w:spacing w:line="560" w:lineRule="exact"/>
        <w:ind w:firstLine="560" w:firstLineChars="200"/>
        <w:rPr>
          <w:rStyle w:val="15"/>
          <w:rFonts w:hint="default" w:ascii="仿宋_GB2312" w:hAnsi="仿宋" w:eastAsia="仿宋_GB2312"/>
          <w:bCs/>
          <w:color w:val="000000" w:themeColor="text1"/>
          <w:sz w:val="28"/>
          <w:szCs w:val="28"/>
          <w:lang w:val="en-US" w:eastAsia="zh-CN"/>
          <w14:textFill>
            <w14:solidFill>
              <w14:schemeClr w14:val="tx1"/>
            </w14:solidFill>
          </w14:textFill>
        </w:rPr>
      </w:pPr>
      <w:bookmarkStart w:id="1" w:name="_Toc11884"/>
      <w:r>
        <w:rPr>
          <w:rStyle w:val="15"/>
          <w:rFonts w:hint="eastAsia" w:ascii="仿宋_GB2312" w:eastAsia="仿宋_GB2312"/>
          <w:color w:val="000000" w:themeColor="text1"/>
          <w:sz w:val="28"/>
          <w:szCs w:val="28"/>
          <w:lang w:val="en-US" w:eastAsia="zh-CN"/>
          <w14:textFill>
            <w14:solidFill>
              <w14:schemeClr w14:val="tx1"/>
            </w14:solidFill>
          </w14:textFill>
        </w:rPr>
        <w:t>南平武夷信息技术有限公司</w:t>
      </w:r>
      <w:r>
        <w:rPr>
          <w:rStyle w:val="15"/>
          <w:rFonts w:hint="eastAsia" w:ascii="仿宋_GB2312" w:eastAsia="仿宋_GB2312"/>
          <w:color w:val="000000" w:themeColor="text1"/>
          <w:sz w:val="28"/>
          <w:szCs w:val="28"/>
          <w14:textFill>
            <w14:solidFill>
              <w14:schemeClr w14:val="tx1"/>
            </w14:solidFill>
          </w14:textFill>
        </w:rPr>
        <w:t>就项目技术咨询服务</w:t>
      </w:r>
      <w:r>
        <w:rPr>
          <w:rStyle w:val="15"/>
          <w:rFonts w:hint="eastAsia" w:ascii="仿宋_GB2312" w:eastAsia="仿宋_GB2312"/>
          <w:color w:val="000000" w:themeColor="text1"/>
          <w:sz w:val="28"/>
          <w:szCs w:val="28"/>
          <w:lang w:val="en-US" w:eastAsia="zh-CN"/>
          <w14:textFill>
            <w14:solidFill>
              <w14:schemeClr w14:val="tx1"/>
            </w14:solidFill>
          </w14:textFill>
        </w:rPr>
        <w:t>采用公开比选的方式。</w:t>
      </w:r>
    </w:p>
    <w:bookmarkEnd w:id="1"/>
    <w:p>
      <w:pPr>
        <w:tabs>
          <w:tab w:val="left" w:pos="6804"/>
        </w:tabs>
        <w:ind w:firstLine="560" w:firstLineChars="200"/>
        <w:outlineLvl w:val="1"/>
        <w:rPr>
          <w:rStyle w:val="15"/>
          <w:rFonts w:ascii="仿宋_GB2312" w:hAnsi="仿宋" w:eastAsia="仿宋_GB2312"/>
          <w:color w:val="000000" w:themeColor="text1"/>
          <w:sz w:val="28"/>
          <w:szCs w:val="28"/>
          <w14:textFill>
            <w14:solidFill>
              <w14:schemeClr w14:val="tx1"/>
            </w14:solidFill>
          </w14:textFill>
        </w:rPr>
      </w:pPr>
      <w:bookmarkStart w:id="2" w:name="_Hlk59426391"/>
      <w:r>
        <w:rPr>
          <w:rStyle w:val="15"/>
          <w:rFonts w:hint="eastAsia" w:ascii="仿宋_GB2312" w:hAnsi="仿宋" w:eastAsia="仿宋_GB2312"/>
          <w:color w:val="000000" w:themeColor="text1"/>
          <w:sz w:val="28"/>
          <w:szCs w:val="28"/>
          <w:lang w:val="en-US" w:eastAsia="zh-CN"/>
          <w14:textFill>
            <w14:solidFill>
              <w14:schemeClr w14:val="tx1"/>
            </w14:solidFill>
          </w14:textFill>
        </w:rPr>
        <w:t>二</w:t>
      </w:r>
      <w:r>
        <w:rPr>
          <w:rStyle w:val="15"/>
          <w:rFonts w:hint="eastAsia" w:ascii="仿宋_GB2312" w:hAnsi="仿宋" w:eastAsia="仿宋_GB2312"/>
          <w:color w:val="000000" w:themeColor="text1"/>
          <w:sz w:val="28"/>
          <w:szCs w:val="28"/>
          <w14:textFill>
            <w14:solidFill>
              <w14:schemeClr w14:val="tx1"/>
            </w14:solidFill>
          </w14:textFill>
        </w:rPr>
        <w:t>、</w:t>
      </w:r>
      <w:r>
        <w:rPr>
          <w:rStyle w:val="15"/>
          <w:rFonts w:hint="eastAsia" w:ascii="仿宋_GB2312" w:hAnsi="仿宋" w:eastAsia="仿宋_GB2312"/>
          <w:color w:val="000000" w:themeColor="text1"/>
          <w:sz w:val="28"/>
          <w:szCs w:val="28"/>
          <w:lang w:val="en-US" w:eastAsia="zh-CN"/>
          <w14:textFill>
            <w14:solidFill>
              <w14:schemeClr w14:val="tx1"/>
            </w14:solidFill>
          </w14:textFill>
        </w:rPr>
        <w:t>服务</w:t>
      </w:r>
      <w:r>
        <w:rPr>
          <w:rStyle w:val="15"/>
          <w:rFonts w:hint="eastAsia" w:ascii="仿宋_GB2312" w:hAnsi="仿宋" w:eastAsia="仿宋_GB2312"/>
          <w:color w:val="000000" w:themeColor="text1"/>
          <w:sz w:val="28"/>
          <w:szCs w:val="28"/>
          <w14:textFill>
            <w14:solidFill>
              <w14:schemeClr w14:val="tx1"/>
            </w14:solidFill>
          </w14:textFill>
        </w:rPr>
        <w:t>内容</w:t>
      </w:r>
    </w:p>
    <w:bookmarkEnd w:id="2"/>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bookmarkStart w:id="3" w:name="_Toc21867"/>
      <w:r>
        <w:rPr>
          <w:rStyle w:val="15"/>
          <w:rFonts w:hint="eastAsia" w:ascii="仿宋_GB2312" w:hAnsi="仿宋" w:eastAsia="仿宋_GB2312" w:cs="Times New Roman"/>
          <w:color w:val="000000" w:themeColor="text1"/>
          <w:sz w:val="28"/>
          <w:szCs w:val="28"/>
          <w14:textFill>
            <w14:solidFill>
              <w14:schemeClr w14:val="tx1"/>
            </w14:solidFill>
          </w14:textFill>
        </w:rPr>
        <w:t>提供</w:t>
      </w:r>
      <w:r>
        <w:rPr>
          <w:rStyle w:val="15"/>
          <w:rFonts w:hint="eastAsia" w:ascii="仿宋_GB2312" w:hAnsi="仿宋" w:eastAsia="仿宋_GB2312" w:cs="Times New Roman"/>
          <w:color w:val="000000" w:themeColor="text1"/>
          <w:sz w:val="28"/>
          <w:szCs w:val="28"/>
          <w:lang w:eastAsia="zh-CN"/>
          <w14:textFill>
            <w14:solidFill>
              <w14:schemeClr w14:val="tx1"/>
            </w14:solidFill>
          </w14:textFill>
        </w:rPr>
        <w:t>“</w:t>
      </w:r>
      <w:r>
        <w:rPr>
          <w:rStyle w:val="15"/>
          <w:rFonts w:hint="eastAsia" w:ascii="仿宋_GB2312" w:hAnsi="仿宋" w:eastAsia="仿宋_GB2312" w:cs="Times New Roman"/>
          <w:color w:val="000000" w:themeColor="text1"/>
          <w:sz w:val="28"/>
          <w:szCs w:val="28"/>
          <w14:textFill>
            <w14:solidFill>
              <w14:schemeClr w14:val="tx1"/>
            </w14:solidFill>
          </w14:textFill>
        </w:rPr>
        <w:t>南平市建阳区公共交通信息化建设项目</w:t>
      </w:r>
      <w:r>
        <w:rPr>
          <w:rStyle w:val="15"/>
          <w:rFonts w:hint="eastAsia" w:ascii="仿宋_GB2312" w:hAnsi="仿宋" w:eastAsia="仿宋_GB2312" w:cs="Times New Roman"/>
          <w:color w:val="000000" w:themeColor="text1"/>
          <w:sz w:val="28"/>
          <w:szCs w:val="28"/>
          <w:lang w:eastAsia="zh-CN"/>
          <w14:textFill>
            <w14:solidFill>
              <w14:schemeClr w14:val="tx1"/>
            </w14:solidFill>
          </w14:textFill>
        </w:rPr>
        <w:t>”</w:t>
      </w:r>
      <w:r>
        <w:rPr>
          <w:rStyle w:val="15"/>
          <w:rFonts w:hint="eastAsia" w:ascii="仿宋_GB2312" w:hAnsi="仿宋" w:eastAsia="仿宋_GB2312" w:cs="Times New Roman"/>
          <w:color w:val="000000" w:themeColor="text1"/>
          <w:sz w:val="28"/>
          <w:szCs w:val="28"/>
          <w14:textFill>
            <w14:solidFill>
              <w14:schemeClr w14:val="tx1"/>
            </w14:solidFill>
          </w14:textFill>
        </w:rPr>
        <w:t>政府专项债全过程咨询服务，包括但不限于：</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eastAsia="zh-CN"/>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（1）负责项目前期包装及立项咨询</w:t>
      </w:r>
      <w:r>
        <w:rPr>
          <w:rStyle w:val="15"/>
          <w:rFonts w:hint="eastAsia" w:ascii="仿宋_GB2312" w:hAnsi="仿宋" w:eastAsia="仿宋_GB2312" w:cs="Times New Roman"/>
          <w:color w:val="000000" w:themeColor="text1"/>
          <w:sz w:val="28"/>
          <w:szCs w:val="28"/>
          <w:lang w:eastAsia="zh-CN"/>
          <w14:textFill>
            <w14:solidFill>
              <w14:schemeClr w14:val="tx1"/>
            </w14:solidFill>
          </w14:textFill>
        </w:rPr>
        <w:t>。</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eastAsia="zh-CN"/>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（2）负责编制专项债可行性研究报告，辅助编制“一案两书”中的实施方案</w:t>
      </w:r>
      <w:r>
        <w:rPr>
          <w:rStyle w:val="15"/>
          <w:rFonts w:hint="eastAsia" w:ascii="仿宋_GB2312" w:hAnsi="仿宋" w:eastAsia="仿宋_GB2312" w:cs="Times New Roman"/>
          <w:color w:val="000000" w:themeColor="text1"/>
          <w:sz w:val="28"/>
          <w:szCs w:val="28"/>
          <w:lang w:eastAsia="zh-CN"/>
          <w14:textFill>
            <w14:solidFill>
              <w14:schemeClr w14:val="tx1"/>
            </w14:solidFill>
          </w14:textFill>
        </w:rPr>
        <w:t>。</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eastAsia="zh-CN"/>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（3）全程跟踪省内及国家对本项目的评审通过情况，并负责与财政、发改部门相关专家沟通，提高项目通过率</w:t>
      </w:r>
      <w:r>
        <w:rPr>
          <w:rStyle w:val="15"/>
          <w:rFonts w:hint="eastAsia" w:ascii="仿宋_GB2312" w:hAnsi="仿宋" w:eastAsia="仿宋_GB2312" w:cs="Times New Roman"/>
          <w:color w:val="000000" w:themeColor="text1"/>
          <w:sz w:val="28"/>
          <w:szCs w:val="28"/>
          <w:lang w:eastAsia="zh-CN"/>
          <w14:textFill>
            <w14:solidFill>
              <w14:schemeClr w14:val="tx1"/>
            </w14:solidFill>
          </w14:textFill>
        </w:rPr>
        <w:t>。</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（4）项目通过后，负责编制项目绩效目标表、事前绩效评估报告等，确保专项债资金顺利申请到位。</w:t>
      </w:r>
    </w:p>
    <w:p>
      <w:pPr>
        <w:tabs>
          <w:tab w:val="left" w:pos="6804"/>
        </w:tabs>
        <w:ind w:firstLine="560" w:firstLineChars="200"/>
        <w:outlineLvl w:val="1"/>
        <w:rPr>
          <w:rStyle w:val="15"/>
          <w:rFonts w:hint="default" w:ascii="仿宋_GB2312" w:hAnsi="仿宋" w:eastAsia="仿宋_GB2312" w:cs="Times New Roman"/>
          <w:color w:val="000000" w:themeColor="text1"/>
          <w:sz w:val="28"/>
          <w:szCs w:val="28"/>
          <w:lang w:val="en-US" w:eastAsia="zh-CN"/>
          <w14:textFill>
            <w14:solidFill>
              <w14:schemeClr w14:val="tx1"/>
            </w14:solidFill>
          </w14:textFill>
        </w:rPr>
      </w:pP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三、</w:t>
      </w:r>
      <w:r>
        <w:rPr>
          <w:rStyle w:val="15"/>
          <w:rFonts w:hint="eastAsia" w:ascii="仿宋_GB2312" w:hAnsi="仿宋" w:eastAsia="仿宋_GB2312"/>
          <w:color w:val="000000" w:themeColor="text1"/>
          <w:sz w:val="28"/>
          <w:szCs w:val="28"/>
          <w14:textFill>
            <w14:solidFill>
              <w14:schemeClr w14:val="tx1"/>
            </w14:solidFill>
          </w14:textFill>
        </w:rPr>
        <w:t>招标范围</w:t>
      </w:r>
      <w:r>
        <w:rPr>
          <w:rStyle w:val="15"/>
          <w:rFonts w:hint="eastAsia" w:ascii="仿宋_GB2312" w:hAnsi="仿宋" w:eastAsia="仿宋_GB2312"/>
          <w:color w:val="000000" w:themeColor="text1"/>
          <w:sz w:val="28"/>
          <w:szCs w:val="28"/>
          <w:lang w:val="en-US" w:eastAsia="zh-CN"/>
          <w14:textFill>
            <w14:solidFill>
              <w14:schemeClr w14:val="tx1"/>
            </w14:solidFill>
          </w14:textFill>
        </w:rPr>
        <w:t>及</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支付条件</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eastAsia="zh-CN"/>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本项目招标控制价：人民币小写：</w:t>
      </w:r>
      <w:r>
        <w:rPr>
          <w:rStyle w:val="15"/>
          <w:rFonts w:hint="eastAsia" w:ascii="仿宋_GB2312" w:hAnsi="仿宋" w:eastAsia="仿宋_GB2312"/>
          <w:color w:val="000000" w:themeColor="text1"/>
          <w:sz w:val="28"/>
          <w:szCs w:val="28"/>
          <w:u w:val="single"/>
          <w:lang w:val="en-US" w:eastAsia="zh-CN"/>
          <w14:textFill>
            <w14:solidFill>
              <w14:schemeClr w14:val="tx1"/>
            </w14:solidFill>
          </w14:textFill>
        </w:rPr>
        <w:t>20</w:t>
      </w:r>
      <w:r>
        <w:rPr>
          <w:rStyle w:val="15"/>
          <w:rFonts w:hint="eastAsia" w:ascii="仿宋_GB2312" w:hAnsi="仿宋" w:eastAsia="仿宋_GB2312"/>
          <w:color w:val="000000" w:themeColor="text1"/>
          <w:sz w:val="28"/>
          <w:szCs w:val="28"/>
          <w:u w:val="single"/>
          <w14:textFill>
            <w14:solidFill>
              <w14:schemeClr w14:val="tx1"/>
            </w14:solidFill>
          </w14:textFill>
        </w:rPr>
        <w:t>0000</w:t>
      </w:r>
      <w:r>
        <w:rPr>
          <w:rStyle w:val="15"/>
          <w:rFonts w:hint="eastAsia" w:ascii="仿宋_GB2312" w:hAnsi="仿宋" w:eastAsia="仿宋_GB2312"/>
          <w:color w:val="000000" w:themeColor="text1"/>
          <w:sz w:val="28"/>
          <w:szCs w:val="28"/>
          <w14:textFill>
            <w14:solidFill>
              <w14:schemeClr w14:val="tx1"/>
            </w14:solidFill>
          </w14:textFill>
        </w:rPr>
        <w:t>元，大写：</w:t>
      </w:r>
      <w:r>
        <w:rPr>
          <w:rStyle w:val="15"/>
          <w:rFonts w:hint="eastAsia" w:ascii="仿宋_GB2312" w:hAnsi="仿宋" w:eastAsia="仿宋_GB2312" w:cs="Times New Roman"/>
          <w:color w:val="000000" w:themeColor="text1"/>
          <w:sz w:val="28"/>
          <w:szCs w:val="28"/>
          <w:u w:val="single"/>
          <w14:textFill>
            <w14:solidFill>
              <w14:schemeClr w14:val="tx1"/>
            </w14:solidFill>
          </w14:textFill>
        </w:rPr>
        <w:t>贰拾万元</w:t>
      </w:r>
      <w:r>
        <w:rPr>
          <w:rStyle w:val="15"/>
          <w:rFonts w:hint="eastAsia" w:ascii="仿宋_GB2312" w:hAnsi="仿宋" w:eastAsia="仿宋_GB2312"/>
          <w:color w:val="000000" w:themeColor="text1"/>
          <w:sz w:val="28"/>
          <w:szCs w:val="28"/>
          <w14:textFill>
            <w14:solidFill>
              <w14:schemeClr w14:val="tx1"/>
            </w14:solidFill>
          </w14:textFill>
        </w:rPr>
        <w:t>整</w:t>
      </w:r>
      <w:r>
        <w:rPr>
          <w:rStyle w:val="15"/>
          <w:rFonts w:hint="eastAsia" w:ascii="仿宋_GB2312" w:hAnsi="仿宋" w:eastAsia="仿宋_GB2312"/>
          <w:color w:val="000000" w:themeColor="text1"/>
          <w:sz w:val="28"/>
          <w:szCs w:val="28"/>
          <w:lang w:eastAsia="zh-CN"/>
          <w14:textFill>
            <w14:solidFill>
              <w14:schemeClr w14:val="tx1"/>
            </w14:solidFill>
          </w14:textFill>
        </w:rPr>
        <w:t>，若项目顺利通过政府专项债券审批，比选人将按照合同约定支付相应的服务费用</w:t>
      </w:r>
      <w:r>
        <w:rPr>
          <w:rStyle w:val="15"/>
          <w:rFonts w:hint="eastAsia" w:ascii="仿宋_GB2312" w:hAnsi="仿宋" w:eastAsia="仿宋_GB2312" w:cs="Times New Roman"/>
          <w:color w:val="000000" w:themeColor="text1"/>
          <w:sz w:val="28"/>
          <w:szCs w:val="28"/>
          <w:lang w:eastAsia="zh-CN"/>
          <w14:textFill>
            <w14:solidFill>
              <w14:schemeClr w14:val="tx1"/>
            </w14:solidFill>
          </w14:textFill>
        </w:rPr>
        <w:t>。若项目未能通过政府专项债券审批，比选人将无需支付任何服务费用。所有已产生的费用由甲方承担。</w:t>
      </w:r>
    </w:p>
    <w:p>
      <w:pPr>
        <w:tabs>
          <w:tab w:val="left" w:pos="6804"/>
        </w:tabs>
        <w:ind w:firstLine="560" w:firstLineChars="200"/>
        <w:outlineLvl w:val="1"/>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pPr>
    </w:p>
    <w:p>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四</w:t>
      </w:r>
      <w:r>
        <w:rPr>
          <w:rStyle w:val="15"/>
          <w:rFonts w:hint="eastAsia" w:ascii="仿宋_GB2312" w:hAnsi="仿宋" w:eastAsia="仿宋_GB2312" w:cs="Calibri"/>
          <w:bCs/>
          <w:color w:val="000000" w:themeColor="text1"/>
          <w:sz w:val="28"/>
          <w:szCs w:val="28"/>
          <w14:textFill>
            <w14:solidFill>
              <w14:schemeClr w14:val="tx1"/>
            </w14:solidFill>
          </w14:textFill>
        </w:rPr>
        <w:t>、资格要求</w:t>
      </w:r>
      <w:bookmarkEnd w:id="3"/>
    </w:p>
    <w:p>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ascii="仿宋_GB2312" w:hAnsi="仿宋" w:eastAsia="仿宋_GB2312"/>
          <w:color w:val="000000" w:themeColor="text1"/>
          <w:sz w:val="28"/>
          <w:szCs w:val="28"/>
          <w14:textFill>
            <w14:solidFill>
              <w14:schemeClr w14:val="tx1"/>
            </w14:solidFill>
          </w14:textFill>
        </w:rPr>
        <w:t>1、比选申请人必须是中华人民共和国境内注册</w:t>
      </w:r>
      <w:r>
        <w:rPr>
          <w:rStyle w:val="15"/>
          <w:rFonts w:hint="eastAsia" w:ascii="仿宋_GB2312" w:hAnsi="仿宋" w:eastAsia="仿宋_GB2312"/>
          <w:color w:val="000000" w:themeColor="text1"/>
          <w:sz w:val="28"/>
          <w:szCs w:val="28"/>
          <w14:textFill>
            <w14:solidFill>
              <w14:schemeClr w14:val="tx1"/>
            </w14:solidFill>
          </w14:textFill>
        </w:rPr>
        <w:t>具有独立法人资格，有独立承担民事责任的能力，并且具有有效的营业执照。</w:t>
      </w:r>
    </w:p>
    <w:p>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2</w:t>
      </w:r>
      <w:r>
        <w:rPr>
          <w:rStyle w:val="15"/>
          <w:rFonts w:ascii="仿宋_GB2312" w:hAnsi="仿宋" w:eastAsia="仿宋_GB2312"/>
          <w:color w:val="000000" w:themeColor="text1"/>
          <w:sz w:val="28"/>
          <w:szCs w:val="28"/>
          <w14:textFill>
            <w14:solidFill>
              <w14:schemeClr w14:val="tx1"/>
            </w14:solidFill>
          </w14:textFill>
        </w:rPr>
        <w:t>、比选申请人具有良好的商业信誉，没有处于被责令停业、财产被冻结、接管、破产及有关行政处罚状态。</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3</w:t>
      </w:r>
      <w:r>
        <w:rPr>
          <w:rStyle w:val="15"/>
          <w:rFonts w:ascii="仿宋_GB2312" w:hAnsi="仿宋" w:eastAsia="仿宋_GB2312"/>
          <w:color w:val="000000" w:themeColor="text1"/>
          <w:sz w:val="28"/>
          <w:szCs w:val="28"/>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14:textFill>
            <w14:solidFill>
              <w14:schemeClr w14:val="tx1"/>
            </w14:solidFill>
          </w14:textFill>
        </w:rPr>
        <w:t>不得以</w:t>
      </w:r>
      <w:r>
        <w:rPr>
          <w:rStyle w:val="15"/>
          <w:rFonts w:hint="eastAsia" w:ascii="仿宋_GB2312" w:hAnsi="仿宋" w:eastAsia="仿宋_GB2312" w:cs="Times New Roman"/>
          <w:color w:val="000000" w:themeColor="text1"/>
          <w:sz w:val="28"/>
          <w:szCs w:val="28"/>
          <w14:textFill>
            <w14:solidFill>
              <w14:schemeClr w14:val="tx1"/>
            </w14:solidFill>
          </w14:textFill>
        </w:rPr>
        <w:t>任何形式转包和分包本项目。</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bookmarkStart w:id="4" w:name="_Toc27492"/>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五</w:t>
      </w:r>
      <w:r>
        <w:rPr>
          <w:rStyle w:val="15"/>
          <w:rFonts w:hint="eastAsia" w:ascii="仿宋_GB2312" w:hAnsi="仿宋" w:eastAsia="仿宋_GB2312" w:cs="Times New Roman"/>
          <w:color w:val="000000" w:themeColor="text1"/>
          <w:sz w:val="28"/>
          <w:szCs w:val="28"/>
          <w14:textFill>
            <w14:solidFill>
              <w14:schemeClr w14:val="tx1"/>
            </w14:solidFill>
          </w14:textFill>
        </w:rPr>
        <w:t>、比选文件的获取</w:t>
      </w:r>
      <w:bookmarkEnd w:id="4"/>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有意参加比选的单位请于202</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4</w:t>
      </w:r>
      <w:r>
        <w:rPr>
          <w:rStyle w:val="15"/>
          <w:rFonts w:hint="eastAsia" w:ascii="仿宋_GB2312" w:hAnsi="仿宋" w:eastAsia="仿宋_GB2312" w:cs="Times New Roman"/>
          <w:color w:val="000000" w:themeColor="text1"/>
          <w:sz w:val="28"/>
          <w:szCs w:val="28"/>
          <w14:textFill>
            <w14:solidFill>
              <w14:schemeClr w14:val="tx1"/>
            </w14:solidFill>
          </w14:textFill>
        </w:rPr>
        <w:t>年</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1</w:t>
      </w:r>
      <w:r>
        <w:rPr>
          <w:rStyle w:val="15"/>
          <w:rFonts w:hint="eastAsia" w:ascii="仿宋_GB2312" w:hAnsi="仿宋" w:eastAsia="仿宋_GB2312" w:cs="Times New Roman"/>
          <w:color w:val="000000" w:themeColor="text1"/>
          <w:sz w:val="28"/>
          <w:szCs w:val="28"/>
          <w14:textFill>
            <w14:solidFill>
              <w14:schemeClr w14:val="tx1"/>
            </w14:solidFill>
          </w14:textFill>
        </w:rPr>
        <w:t>月</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5</w:t>
      </w:r>
      <w:r>
        <w:rPr>
          <w:rStyle w:val="15"/>
          <w:rFonts w:hint="eastAsia" w:ascii="仿宋_GB2312" w:hAnsi="仿宋" w:eastAsia="仿宋_GB2312" w:cs="Times New Roman"/>
          <w:color w:val="000000" w:themeColor="text1"/>
          <w:sz w:val="28"/>
          <w:szCs w:val="28"/>
          <w14:textFill>
            <w14:solidFill>
              <w14:schemeClr w14:val="tx1"/>
            </w14:solidFill>
          </w14:textFill>
        </w:rPr>
        <w:t>日到 南平武夷发展集团 网站公告中心（网址：http//www.wuyijt.com）下载相关比选文件资料。</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bookmarkStart w:id="5" w:name="_Toc30729"/>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六</w:t>
      </w:r>
      <w:r>
        <w:rPr>
          <w:rStyle w:val="15"/>
          <w:rFonts w:hint="eastAsia" w:ascii="仿宋_GB2312" w:hAnsi="仿宋" w:eastAsia="仿宋_GB2312" w:cs="Times New Roman"/>
          <w:color w:val="000000" w:themeColor="text1"/>
          <w:sz w:val="28"/>
          <w:szCs w:val="28"/>
          <w14:textFill>
            <w14:solidFill>
              <w14:schemeClr w14:val="tx1"/>
            </w14:solidFill>
          </w14:textFill>
        </w:rPr>
        <w:t>、申请书的递交：</w:t>
      </w:r>
      <w:bookmarkEnd w:id="5"/>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比选申请书于202</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4</w:t>
      </w:r>
      <w:r>
        <w:rPr>
          <w:rStyle w:val="15"/>
          <w:rFonts w:hint="eastAsia" w:ascii="仿宋_GB2312" w:hAnsi="仿宋" w:eastAsia="仿宋_GB2312" w:cs="Times New Roman"/>
          <w:color w:val="000000" w:themeColor="text1"/>
          <w:sz w:val="28"/>
          <w:szCs w:val="28"/>
          <w14:textFill>
            <w14:solidFill>
              <w14:schemeClr w14:val="tx1"/>
            </w14:solidFill>
          </w14:textFill>
        </w:rPr>
        <w:t>年</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1</w:t>
      </w:r>
      <w:r>
        <w:rPr>
          <w:rStyle w:val="15"/>
          <w:rFonts w:hint="eastAsia" w:ascii="仿宋_GB2312" w:hAnsi="仿宋" w:eastAsia="仿宋_GB2312" w:cs="Times New Roman"/>
          <w:color w:val="000000" w:themeColor="text1"/>
          <w:sz w:val="28"/>
          <w:szCs w:val="28"/>
          <w14:textFill>
            <w14:solidFill>
              <w14:schemeClr w14:val="tx1"/>
            </w14:solidFill>
          </w14:textFill>
        </w:rPr>
        <w:t>月</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9</w:t>
      </w:r>
      <w:r>
        <w:rPr>
          <w:rStyle w:val="15"/>
          <w:rFonts w:hint="eastAsia" w:ascii="仿宋_GB2312" w:hAnsi="仿宋" w:eastAsia="仿宋_GB2312" w:cs="Times New Roman"/>
          <w:color w:val="000000" w:themeColor="text1"/>
          <w:sz w:val="28"/>
          <w:szCs w:val="28"/>
          <w14:textFill>
            <w14:solidFill>
              <w14:schemeClr w14:val="tx1"/>
            </w14:solidFill>
          </w14:textFill>
        </w:rPr>
        <w:t>日下午3:30～4:30递交到南平武夷信息技术有限公司三楼会议室（福建省南平市建阳区潭城街道美加德广场1号楼301会议室），逾期不予受理。</w:t>
      </w:r>
      <w:bookmarkStart w:id="10" w:name="_GoBack"/>
      <w:bookmarkEnd w:id="10"/>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开标时间地点同递交承诺文件截止时间和地点。</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bookmarkStart w:id="6" w:name="_Toc22552"/>
      <w:r>
        <w:rPr>
          <w:rStyle w:val="15"/>
          <w:rFonts w:hint="eastAsia" w:ascii="仿宋_GB2312" w:hAnsi="仿宋" w:eastAsia="仿宋_GB2312" w:cs="Times New Roman"/>
          <w:color w:val="000000" w:themeColor="text1"/>
          <w:sz w:val="28"/>
          <w:szCs w:val="28"/>
          <w14:textFill>
            <w14:solidFill>
              <w14:schemeClr w14:val="tx1"/>
            </w14:solidFill>
          </w14:textFill>
        </w:rPr>
        <w:t>评选办法：最低投标报价法（即保函费率最低）。</w:t>
      </w:r>
      <w:bookmarkEnd w:id="6"/>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pPr>
      <w:bookmarkStart w:id="7" w:name="_Toc23251"/>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pP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pP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pP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八</w:t>
      </w:r>
      <w:r>
        <w:rPr>
          <w:rStyle w:val="15"/>
          <w:rFonts w:hint="eastAsia" w:ascii="仿宋_GB2312" w:hAnsi="仿宋" w:eastAsia="仿宋_GB2312" w:cs="Times New Roman"/>
          <w:color w:val="000000" w:themeColor="text1"/>
          <w:sz w:val="28"/>
          <w:szCs w:val="28"/>
          <w14:textFill>
            <w14:solidFill>
              <w14:schemeClr w14:val="tx1"/>
            </w14:solidFill>
          </w14:textFill>
        </w:rPr>
        <w:t>、联系信息：</w:t>
      </w:r>
      <w:bookmarkEnd w:id="7"/>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南平武夷信息技术有限公司</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联系人： 何</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先生</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电  话： 15805991195</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lang w:val="zh-CN"/>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 xml:space="preserve">             比选人：南平武夷信息技术有限公司            </w:t>
      </w:r>
    </w:p>
    <w:p>
      <w:pPr>
        <w:tabs>
          <w:tab w:val="left" w:pos="6804"/>
        </w:tabs>
        <w:ind w:firstLine="560" w:firstLineChars="200"/>
        <w:outlineLvl w:val="1"/>
        <w:rPr>
          <w:rStyle w:val="15"/>
          <w:rFonts w:hint="eastAsia" w:ascii="仿宋_GB2312" w:hAnsi="仿宋" w:eastAsia="仿宋_GB2312" w:cs="Times New Roman"/>
          <w:color w:val="000000" w:themeColor="text1"/>
          <w:sz w:val="28"/>
          <w:szCs w:val="28"/>
          <w14:textFill>
            <w14:solidFill>
              <w14:schemeClr w14:val="tx1"/>
            </w14:solidFill>
          </w14:textFill>
        </w:rPr>
      </w:pPr>
      <w:r>
        <w:rPr>
          <w:rStyle w:val="15"/>
          <w:rFonts w:hint="eastAsia" w:ascii="仿宋_GB2312" w:hAnsi="仿宋" w:eastAsia="仿宋_GB2312" w:cs="Times New Roman"/>
          <w:color w:val="000000" w:themeColor="text1"/>
          <w:sz w:val="28"/>
          <w:szCs w:val="28"/>
          <w14:textFill>
            <w14:solidFill>
              <w14:schemeClr w14:val="tx1"/>
            </w14:solidFill>
          </w14:textFill>
        </w:rPr>
        <w:t xml:space="preserve">                       </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 xml:space="preserve">        </w:t>
      </w:r>
      <w:r>
        <w:rPr>
          <w:rStyle w:val="15"/>
          <w:rFonts w:hint="eastAsia" w:ascii="仿宋_GB2312" w:hAnsi="仿宋" w:eastAsia="仿宋_GB2312" w:cs="Times New Roman"/>
          <w:color w:val="000000" w:themeColor="text1"/>
          <w:sz w:val="28"/>
          <w:szCs w:val="28"/>
          <w14:textFill>
            <w14:solidFill>
              <w14:schemeClr w14:val="tx1"/>
            </w14:solidFill>
          </w14:textFill>
        </w:rPr>
        <w:t xml:space="preserve"> 202</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4</w:t>
      </w:r>
      <w:r>
        <w:rPr>
          <w:rStyle w:val="15"/>
          <w:rFonts w:hint="eastAsia" w:ascii="仿宋_GB2312" w:hAnsi="仿宋" w:eastAsia="仿宋_GB2312" w:cs="Times New Roman"/>
          <w:color w:val="000000" w:themeColor="text1"/>
          <w:sz w:val="28"/>
          <w:szCs w:val="28"/>
          <w14:textFill>
            <w14:solidFill>
              <w14:schemeClr w14:val="tx1"/>
            </w14:solidFill>
          </w14:textFill>
        </w:rPr>
        <w:t>年</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1</w:t>
      </w:r>
      <w:r>
        <w:rPr>
          <w:rStyle w:val="15"/>
          <w:rFonts w:hint="eastAsia" w:ascii="仿宋_GB2312" w:hAnsi="仿宋" w:eastAsia="仿宋_GB2312" w:cs="Times New Roman"/>
          <w:color w:val="000000" w:themeColor="text1"/>
          <w:sz w:val="28"/>
          <w:szCs w:val="28"/>
          <w14:textFill>
            <w14:solidFill>
              <w14:schemeClr w14:val="tx1"/>
            </w14:solidFill>
          </w14:textFill>
        </w:rPr>
        <w:t>月</w:t>
      </w: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int="eastAsia" w:hAnsi="宋体"/>
          <w:sz w:val="28"/>
          <w:szCs w:val="28"/>
        </w:rPr>
      </w:pPr>
    </w:p>
    <w:p>
      <w:pPr>
        <w:rPr>
          <w:rFonts w:hAnsi="宋体"/>
          <w:sz w:val="28"/>
          <w:szCs w:val="28"/>
        </w:rPr>
      </w:pPr>
      <w:r>
        <w:rPr>
          <w:rFonts w:hint="eastAsia" w:hAnsi="宋体"/>
          <w:sz w:val="28"/>
          <w:szCs w:val="28"/>
        </w:rPr>
        <w:t>附表：</w:t>
      </w:r>
      <w:r>
        <w:rPr>
          <w:rFonts w:hAnsi="宋体"/>
          <w:sz w:val="28"/>
          <w:szCs w:val="28"/>
        </w:rPr>
        <w:t>投标文件格式</w:t>
      </w:r>
    </w:p>
    <w:p>
      <w:pPr>
        <w:spacing w:line="360" w:lineRule="auto"/>
        <w:jc w:val="center"/>
        <w:rPr>
          <w:rFonts w:ascii="宋体" w:hAnsi="宋体" w:cs="宋体"/>
          <w:b/>
          <w:bCs/>
          <w:sz w:val="40"/>
          <w:szCs w:val="40"/>
        </w:rPr>
      </w:pPr>
    </w:p>
    <w:p>
      <w:pPr>
        <w:jc w:val="center"/>
        <w:rPr>
          <w:rFonts w:hint="eastAsia" w:ascii="仿宋" w:eastAsia="仿宋" w:cs="仿宋"/>
          <w:color w:val="000000"/>
          <w:sz w:val="32"/>
          <w:szCs w:val="32"/>
          <w:u w:val="single"/>
        </w:rPr>
      </w:pPr>
      <w:r>
        <w:rPr>
          <w:rFonts w:hint="eastAsia" w:ascii="宋体" w:hAnsi="宋体" w:cs="宋体"/>
          <w:b/>
          <w:bCs/>
          <w:sz w:val="40"/>
          <w:szCs w:val="40"/>
          <w:u w:val="single"/>
        </w:rPr>
        <w:t>（</w:t>
      </w:r>
      <w:r>
        <w:rPr>
          <w:rFonts w:hint="eastAsia" w:ascii="仿宋" w:eastAsia="仿宋" w:cs="仿宋"/>
          <w:color w:val="000000"/>
          <w:sz w:val="32"/>
          <w:szCs w:val="32"/>
          <w:u w:val="single"/>
        </w:rPr>
        <w:t>南平武夷信息技术有限公司项目技术咨询服务</w:t>
      </w:r>
    </w:p>
    <w:p>
      <w:pPr>
        <w:jc w:val="center"/>
        <w:rPr>
          <w:rFonts w:ascii="宋体" w:hAnsi="宋体" w:cs="宋体"/>
        </w:rPr>
      </w:pPr>
      <w:r>
        <w:rPr>
          <w:rFonts w:hint="eastAsia" w:ascii="仿宋" w:eastAsia="仿宋" w:cs="仿宋"/>
          <w:color w:val="000000"/>
          <w:sz w:val="32"/>
          <w:szCs w:val="32"/>
          <w:u w:val="single"/>
        </w:rPr>
        <w:t>比选公告</w:t>
      </w:r>
      <w:r>
        <w:rPr>
          <w:rFonts w:hint="eastAsia" w:ascii="宋体" w:hAnsi="宋体" w:cs="宋体"/>
          <w:b/>
          <w:bCs/>
          <w:sz w:val="40"/>
          <w:szCs w:val="40"/>
          <w:u w:val="single"/>
        </w:rPr>
        <w:t>）</w:t>
      </w:r>
      <w:r>
        <w:rPr>
          <w:rFonts w:hint="eastAsia" w:ascii="宋体" w:hAnsi="宋体" w:cs="宋体"/>
          <w:b/>
          <w:bCs/>
          <w:sz w:val="40"/>
          <w:szCs w:val="40"/>
        </w:rPr>
        <w:t>选取</w:t>
      </w:r>
    </w:p>
    <w:p>
      <w:pPr>
        <w:jc w:val="right"/>
        <w:rPr>
          <w:rFonts w:ascii="宋体" w:hAnsi="宋体" w:cs="宋体"/>
          <w:sz w:val="36"/>
          <w:szCs w:val="36"/>
        </w:rPr>
      </w:pPr>
      <w:r>
        <w:rPr>
          <w:rFonts w:hint="eastAsia" w:ascii="宋体" w:hAnsi="宋体" w:cs="宋体"/>
          <w:sz w:val="36"/>
          <w:szCs w:val="36"/>
        </w:rPr>
        <w:t>（  本）</w:t>
      </w:r>
    </w:p>
    <w:p>
      <w:pPr>
        <w:rPr>
          <w:rFonts w:ascii="宋体" w:hAnsi="宋体" w:cs="宋体"/>
          <w:sz w:val="36"/>
          <w:szCs w:val="36"/>
        </w:rPr>
      </w:pPr>
    </w:p>
    <w:p>
      <w:pPr>
        <w:spacing w:line="360" w:lineRule="auto"/>
        <w:jc w:val="center"/>
        <w:rPr>
          <w:rFonts w:ascii="宋体" w:hAnsi="宋体" w:cs="宋体"/>
          <w:sz w:val="52"/>
          <w:szCs w:val="52"/>
        </w:rPr>
      </w:pPr>
      <w:r>
        <w:rPr>
          <w:rFonts w:hint="eastAsia" w:ascii="宋体" w:hAnsi="宋体" w:cs="宋体"/>
          <w:sz w:val="52"/>
          <w:szCs w:val="52"/>
        </w:rPr>
        <w:t>比</w:t>
      </w:r>
    </w:p>
    <w:p>
      <w:pPr>
        <w:spacing w:line="360" w:lineRule="auto"/>
        <w:jc w:val="center"/>
        <w:rPr>
          <w:rFonts w:ascii="宋体" w:hAnsi="宋体" w:cs="宋体"/>
          <w:sz w:val="52"/>
          <w:szCs w:val="52"/>
        </w:rPr>
      </w:pPr>
      <w:r>
        <w:rPr>
          <w:rFonts w:hint="eastAsia" w:ascii="宋体" w:hAnsi="宋体" w:cs="宋体"/>
          <w:sz w:val="52"/>
          <w:szCs w:val="52"/>
        </w:rPr>
        <w:t>选</w:t>
      </w:r>
    </w:p>
    <w:p>
      <w:pPr>
        <w:spacing w:line="360" w:lineRule="auto"/>
        <w:jc w:val="center"/>
        <w:rPr>
          <w:rFonts w:ascii="宋体" w:hAnsi="宋体" w:cs="宋体"/>
          <w:sz w:val="52"/>
          <w:szCs w:val="52"/>
        </w:rPr>
      </w:pPr>
      <w:r>
        <w:rPr>
          <w:rFonts w:hint="eastAsia" w:ascii="宋体" w:hAnsi="宋体" w:cs="宋体"/>
          <w:sz w:val="52"/>
          <w:szCs w:val="52"/>
        </w:rPr>
        <w:t>申</w:t>
      </w:r>
    </w:p>
    <w:p>
      <w:pPr>
        <w:spacing w:line="360" w:lineRule="auto"/>
        <w:jc w:val="center"/>
        <w:rPr>
          <w:rFonts w:ascii="宋体" w:hAnsi="宋体" w:cs="宋体"/>
          <w:sz w:val="52"/>
          <w:szCs w:val="52"/>
        </w:rPr>
      </w:pPr>
      <w:r>
        <w:rPr>
          <w:rFonts w:hint="eastAsia" w:ascii="宋体" w:hAnsi="宋体" w:cs="宋体"/>
          <w:sz w:val="52"/>
          <w:szCs w:val="52"/>
        </w:rPr>
        <w:t>请</w:t>
      </w:r>
    </w:p>
    <w:p>
      <w:pPr>
        <w:spacing w:line="360" w:lineRule="auto"/>
        <w:jc w:val="center"/>
        <w:rPr>
          <w:rFonts w:ascii="宋体" w:hAnsi="宋体" w:cs="宋体"/>
          <w:sz w:val="52"/>
          <w:szCs w:val="52"/>
        </w:rPr>
      </w:pPr>
      <w:r>
        <w:rPr>
          <w:rFonts w:hint="eastAsia" w:ascii="宋体" w:hAnsi="宋体" w:cs="宋体"/>
          <w:sz w:val="52"/>
          <w:szCs w:val="52"/>
        </w:rPr>
        <w:t>书</w:t>
      </w:r>
    </w:p>
    <w:p>
      <w:pPr>
        <w:spacing w:line="480" w:lineRule="auto"/>
        <w:jc w:val="center"/>
        <w:rPr>
          <w:rFonts w:ascii="宋体" w:hAnsi="宋体" w:cs="宋体"/>
          <w:sz w:val="52"/>
          <w:szCs w:val="52"/>
        </w:rPr>
      </w:pPr>
    </w:p>
    <w:p>
      <w:pPr>
        <w:spacing w:line="480" w:lineRule="auto"/>
        <w:jc w:val="center"/>
        <w:rPr>
          <w:rFonts w:ascii="宋体" w:hAnsi="宋体" w:cs="宋体"/>
          <w:sz w:val="52"/>
          <w:szCs w:val="52"/>
        </w:rPr>
      </w:pPr>
    </w:p>
    <w:p>
      <w:pPr>
        <w:spacing w:line="480" w:lineRule="auto"/>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pPr>
        <w:spacing w:line="480" w:lineRule="auto"/>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8" w:name="_Toc200708263"/>
    </w:p>
    <w:p>
      <w:pPr>
        <w:rPr>
          <w:rFonts w:ascii="宋体" w:hAnsi="宋体"/>
          <w:b/>
          <w:bCs/>
          <w:color w:val="000000"/>
          <w:sz w:val="32"/>
          <w:szCs w:val="32"/>
        </w:rPr>
      </w:pPr>
    </w:p>
    <w:p>
      <w:pPr>
        <w:pStyle w:val="6"/>
      </w:pPr>
    </w:p>
    <w:p/>
    <w:p>
      <w:pPr>
        <w:pStyle w:val="6"/>
      </w:pPr>
    </w:p>
    <w:p>
      <w:pPr>
        <w:jc w:val="center"/>
        <w:rPr>
          <w:rFonts w:ascii="宋体" w:hAnsi="宋体"/>
          <w:b/>
          <w:bCs/>
          <w:color w:val="000000"/>
          <w:sz w:val="32"/>
          <w:szCs w:val="32"/>
        </w:rPr>
      </w:pPr>
      <w:r>
        <w:rPr>
          <w:rFonts w:hint="eastAsia" w:ascii="宋体" w:hAnsi="宋体"/>
          <w:b/>
          <w:bCs/>
          <w:color w:val="000000"/>
          <w:sz w:val="32"/>
          <w:szCs w:val="32"/>
        </w:rPr>
        <w:t>报价承诺函</w:t>
      </w:r>
    </w:p>
    <w:p>
      <w:pPr>
        <w:spacing w:line="380" w:lineRule="exact"/>
        <w:rPr>
          <w:rFonts w:ascii="宋体" w:hAnsi="宋体"/>
          <w:sz w:val="24"/>
        </w:rPr>
      </w:pPr>
      <w:bookmarkStart w:id="9" w:name="_Toc200772293"/>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pPr>
        <w:spacing w:line="380" w:lineRule="exact"/>
        <w:rPr>
          <w:rFonts w:ascii="宋体" w:hAnsi="宋体"/>
          <w:sz w:val="24"/>
        </w:rPr>
      </w:pPr>
    </w:p>
    <w:p>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
      <w:pPr>
        <w:pStyle w:val="24"/>
        <w:jc w:val="center"/>
        <w:rPr>
          <w:rFonts w:hAnsi="宋体"/>
          <w:sz w:val="24"/>
        </w:rPr>
      </w:pPr>
      <w:r>
        <w:rPr>
          <w:rFonts w:hint="eastAsia" w:hAnsi="宋体"/>
          <w:b/>
          <w:sz w:val="24"/>
        </w:rPr>
        <w:t>法定代表人授权书</w:t>
      </w:r>
      <w:r>
        <w:rPr>
          <w:rFonts w:hint="eastAsia" w:hAnsi="宋体"/>
          <w:sz w:val="24"/>
        </w:rPr>
        <w:cr/>
      </w: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pStyle w:val="7"/>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40" w:lineRule="exact"/>
        <w:ind w:firstLine="480" w:firstLineChars="200"/>
        <w:jc w:val="left"/>
        <w:rPr>
          <w:rFonts w:hAnsi="宋体"/>
          <w:sz w:val="24"/>
        </w:rPr>
      </w:pPr>
      <w:r>
        <w:rPr>
          <w:rFonts w:hint="eastAsia" w:hAnsi="宋体"/>
          <w:sz w:val="24"/>
        </w:rPr>
        <w:t>本授权书自出具之日起生效。</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附：被授权人身份证件复印件</w:t>
      </w:r>
    </w:p>
    <w:p>
      <w:pPr>
        <w:pStyle w:val="5"/>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授权方</w:t>
      </w:r>
    </w:p>
    <w:p>
      <w:pPr>
        <w:spacing w:line="380" w:lineRule="exact"/>
        <w:rPr>
          <w:rFonts w:ascii="宋体" w:hAnsi="宋体"/>
          <w:sz w:val="24"/>
        </w:rPr>
      </w:pPr>
    </w:p>
    <w:p>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w:t>
      </w:r>
    </w:p>
    <w:p>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接受授权方</w:t>
      </w:r>
    </w:p>
    <w:p>
      <w:pPr>
        <w:spacing w:line="380" w:lineRule="exact"/>
        <w:rPr>
          <w:rFonts w:ascii="宋体" w:hAnsi="宋体"/>
          <w:sz w:val="24"/>
        </w:rPr>
      </w:pPr>
      <w:r>
        <w:rPr>
          <w:rFonts w:hint="eastAsia" w:ascii="宋体" w:hAnsi="宋体"/>
          <w:sz w:val="24"/>
        </w:rPr>
        <w:t xml:space="preserve"> </w:t>
      </w:r>
    </w:p>
    <w:p>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pPr>
        <w:pStyle w:val="24"/>
        <w:rPr>
          <w:rFonts w:hAnsi="宋体"/>
          <w:sz w:val="24"/>
        </w:rPr>
      </w:pPr>
    </w:p>
    <w:p>
      <w:pPr>
        <w:pStyle w:val="24"/>
        <w:rPr>
          <w:rFonts w:hAnsi="宋体"/>
          <w:sz w:val="24"/>
        </w:rPr>
      </w:pPr>
    </w:p>
    <w:p>
      <w:pPr>
        <w:jc w:val="center"/>
        <w:rPr>
          <w:rFonts w:ascii="宋体" w:hAnsi="宋体"/>
          <w:b/>
          <w:sz w:val="28"/>
        </w:rPr>
      </w:pPr>
      <w:r>
        <w:rPr>
          <w:rFonts w:hAnsi="宋体"/>
          <w:sz w:val="24"/>
        </w:rPr>
        <w:br w:type="page"/>
      </w:r>
      <w:r>
        <w:rPr>
          <w:rFonts w:hint="eastAsia" w:hAnsi="宋体"/>
          <w:b/>
          <w:sz w:val="28"/>
        </w:rPr>
        <w:t>法人营业执照</w:t>
      </w:r>
    </w:p>
    <w:p>
      <w:pPr>
        <w:rPr>
          <w:rFonts w:ascii="宋体" w:hAnsi="宋体"/>
        </w:rPr>
      </w:pP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pPr>
        <w:spacing w:line="380" w:lineRule="exact"/>
        <w:rPr>
          <w:rFonts w:ascii="宋体" w:hAnsi="宋体"/>
          <w:sz w:val="24"/>
          <w:highlight w:val="yellow"/>
        </w:rPr>
      </w:pPr>
    </w:p>
    <w:p>
      <w:pPr>
        <w:spacing w:line="380" w:lineRule="exact"/>
        <w:rPr>
          <w:rFonts w:ascii="宋体" w:hAnsi="宋体"/>
          <w:sz w:val="24"/>
          <w:highlight w:val="yellow"/>
        </w:rPr>
      </w:pPr>
    </w:p>
    <w:p>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w:t>
      </w:r>
      <w:r>
        <w:rPr>
          <w:rFonts w:hint="eastAsia" w:ascii="宋体" w:hAnsi="宋体"/>
          <w:sz w:val="24"/>
          <w:lang w:eastAsia="zh-CN"/>
        </w:rPr>
        <w:t>、</w:t>
      </w:r>
      <w:r>
        <w:rPr>
          <w:rFonts w:hint="eastAsia" w:ascii="宋体" w:hAnsi="宋体"/>
          <w:sz w:val="24"/>
          <w:lang w:val="en-US" w:eastAsia="zh-CN"/>
        </w:rPr>
        <w:t>法人身份证复印件</w:t>
      </w:r>
      <w:r>
        <w:rPr>
          <w:rFonts w:hint="eastAsia" w:ascii="宋体" w:hAnsi="宋体"/>
          <w:sz w:val="24"/>
        </w:rPr>
        <w:t>、税务登记证副本</w:t>
      </w:r>
      <w:r>
        <w:rPr>
          <w:rFonts w:hint="eastAsia" w:ascii="宋体" w:hAnsi="宋体"/>
          <w:szCs w:val="21"/>
        </w:rPr>
        <w:t>复印</w:t>
      </w:r>
      <w:r>
        <w:rPr>
          <w:rFonts w:hint="eastAsia" w:ascii="宋体" w:hAnsi="宋体"/>
          <w:sz w:val="24"/>
        </w:rPr>
        <w:t>件并同时密封递交。</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w:t>
      </w: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ascii="宋体" w:hAnsi="宋体"/>
          <w:sz w:val="24"/>
        </w:rPr>
      </w:pPr>
    </w:p>
    <w:p>
      <w:pPr>
        <w:pStyle w:val="2"/>
        <w:rPr>
          <w:rFonts w:hint="eastAsia" w:hAnsi="宋体"/>
          <w:sz w:val="24"/>
          <w:lang w:eastAsia="zh-CN"/>
        </w:rPr>
      </w:pPr>
    </w:p>
    <w:p>
      <w:pPr>
        <w:pStyle w:val="2"/>
        <w:rPr>
          <w:rFonts w:hint="eastAsia" w:hAnsi="宋体"/>
          <w:sz w:val="24"/>
          <w:lang w:eastAsia="zh-CN"/>
        </w:rPr>
      </w:pPr>
    </w:p>
    <w:p>
      <w:pPr>
        <w:spacing w:line="380" w:lineRule="exact"/>
        <w:rPr>
          <w:rFonts w:ascii="宋体" w:hAnsi="宋体"/>
          <w:sz w:val="24"/>
        </w:rPr>
      </w:pPr>
    </w:p>
    <w:p>
      <w:pPr>
        <w:pStyle w:val="24"/>
        <w:jc w:val="center"/>
        <w:rPr>
          <w:rFonts w:hAnsi="宋体"/>
          <w:sz w:val="24"/>
        </w:rPr>
      </w:pPr>
    </w:p>
    <w:p>
      <w:pPr>
        <w:pStyle w:val="24"/>
        <w:jc w:val="center"/>
        <w:rPr>
          <w:rFonts w:hAnsi="宋体"/>
          <w:sz w:val="24"/>
        </w:rPr>
      </w:pPr>
    </w:p>
    <w:p>
      <w:pPr>
        <w:spacing w:line="440" w:lineRule="exact"/>
        <w:rPr>
          <w:rFonts w:ascii="宋体" w:hAnsi="宋体"/>
          <w:sz w:val="24"/>
        </w:rPr>
      </w:pPr>
    </w:p>
    <w:p>
      <w:pPr>
        <w:jc w:val="center"/>
        <w:rPr>
          <w:rFonts w:ascii="宋体" w:hAnsi="宋体"/>
          <w:sz w:val="24"/>
        </w:rPr>
      </w:pPr>
      <w:r>
        <w:rPr>
          <w:rFonts w:ascii="宋体" w:hAnsi="宋体"/>
          <w:sz w:val="24"/>
        </w:rPr>
        <w:br w:type="page"/>
      </w:r>
    </w:p>
    <w:p>
      <w:pPr>
        <w:jc w:val="center"/>
        <w:rPr>
          <w:rFonts w:ascii="宋体" w:hAnsi="宋体"/>
          <w:b/>
          <w:sz w:val="32"/>
          <w:szCs w:val="32"/>
        </w:rPr>
      </w:pPr>
      <w:r>
        <w:rPr>
          <w:rFonts w:hint="eastAsia" w:ascii="宋体" w:hAnsi="宋体"/>
          <w:b/>
          <w:sz w:val="32"/>
          <w:szCs w:val="32"/>
        </w:rPr>
        <w:t>重大违法纪录声明</w:t>
      </w:r>
    </w:p>
    <w:p>
      <w:pPr>
        <w:jc w:val="left"/>
        <w:rPr>
          <w:rFonts w:ascii="宋体" w:hAnsi="宋体"/>
          <w:b/>
          <w:sz w:val="24"/>
        </w:rPr>
      </w:pPr>
    </w:p>
    <w:p>
      <w:pPr>
        <w:spacing w:line="380" w:lineRule="exact"/>
        <w:rPr>
          <w:rFonts w:ascii="宋体" w:hAnsi="宋体"/>
          <w:sz w:val="24"/>
        </w:rPr>
      </w:pPr>
      <w:r>
        <w:rPr>
          <w:rFonts w:hint="eastAsia" w:ascii="宋体" w:hAnsi="宋体"/>
          <w:sz w:val="24"/>
        </w:rPr>
        <w:t>南平武夷信息技术有限公司：</w:t>
      </w:r>
    </w:p>
    <w:p>
      <w:pPr>
        <w:jc w:val="left"/>
        <w:rPr>
          <w:rFonts w:ascii="宋体" w:hAnsi="宋体"/>
          <w:sz w:val="24"/>
        </w:rPr>
      </w:pPr>
    </w:p>
    <w:p>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pPr>
        <w:spacing w:line="500" w:lineRule="exact"/>
        <w:ind w:firstLine="570"/>
        <w:rPr>
          <w:rFonts w:ascii="宋体" w:hAnsi="宋体"/>
          <w:color w:val="000000"/>
          <w:sz w:val="24"/>
        </w:rPr>
      </w:pPr>
    </w:p>
    <w:p>
      <w:pPr>
        <w:spacing w:line="500" w:lineRule="exact"/>
        <w:ind w:firstLine="570"/>
        <w:rPr>
          <w:rFonts w:ascii="宋体" w:hAnsi="宋体"/>
          <w:color w:val="000000"/>
          <w:sz w:val="24"/>
        </w:rPr>
      </w:pPr>
      <w:r>
        <w:rPr>
          <w:rFonts w:hint="eastAsia" w:ascii="宋体" w:hAnsi="宋体"/>
          <w:color w:val="000000"/>
          <w:sz w:val="24"/>
        </w:rPr>
        <w:t>特此声明！</w:t>
      </w:r>
    </w:p>
    <w:p>
      <w:pPr>
        <w:jc w:val="left"/>
        <w:rPr>
          <w:rFonts w:ascii="宋体" w:hAnsi="宋体"/>
          <w:sz w:val="24"/>
        </w:rPr>
      </w:pPr>
      <w:r>
        <w:rPr>
          <w:rFonts w:hint="eastAsia" w:ascii="宋体" w:hAnsi="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jc w:val="left"/>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投标人提交的其它资料</w:t>
      </w:r>
    </w:p>
    <w:p>
      <w:pPr>
        <w:rPr>
          <w:rFonts w:ascii="宋体" w:hAnsi="宋体"/>
          <w:b/>
          <w:sz w:val="24"/>
        </w:rPr>
      </w:pPr>
      <w:r>
        <w:rPr>
          <w:rFonts w:ascii="宋体" w:hAnsi="宋体"/>
          <w:b/>
          <w:sz w:val="24"/>
        </w:rPr>
        <w:t xml:space="preserve"> </w:t>
      </w:r>
      <w:r>
        <w:rPr>
          <w:rFonts w:hint="eastAsia" w:ascii="宋体" w:hAnsi="宋体"/>
          <w:b/>
          <w:sz w:val="24"/>
        </w:rPr>
        <w:t xml:space="preserve">  </w:t>
      </w:r>
    </w:p>
    <w:p>
      <w:pPr>
        <w:ind w:firstLine="480" w:firstLineChars="200"/>
        <w:rPr>
          <w:rFonts w:ascii="宋体" w:hAnsi="宋体"/>
          <w:b/>
          <w:bCs/>
          <w:sz w:val="24"/>
        </w:rPr>
      </w:pPr>
      <w:r>
        <w:rPr>
          <w:rFonts w:hint="eastAsia" w:ascii="宋体" w:hAnsi="宋体"/>
          <w:sz w:val="24"/>
        </w:rPr>
        <w:t>投标人认为应提交的其他材料, 可在此附件中提交。</w:t>
      </w:r>
    </w:p>
    <w:p>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pPr>
        <w:spacing w:line="380" w:lineRule="exact"/>
        <w:rPr>
          <w:rFonts w:ascii="宋体" w:hAnsi="宋体"/>
          <w:sz w:val="24"/>
        </w:rPr>
      </w:pPr>
      <w:r>
        <w:rPr>
          <w:rFonts w:ascii="宋体" w:hAnsi="宋体"/>
          <w:sz w:val="24"/>
        </w:rPr>
        <w:t xml:space="preserve">                                   </w:t>
      </w:r>
    </w:p>
    <w:p>
      <w:pPr>
        <w:pStyle w:val="7"/>
        <w:snapToGrid w:val="0"/>
        <w:spacing w:line="440" w:lineRule="exact"/>
        <w:jc w:val="left"/>
        <w:rPr>
          <w:rFonts w:hAnsi="宋体"/>
          <w:sz w:val="24"/>
        </w:rPr>
      </w:pPr>
    </w:p>
    <w:p>
      <w:pPr>
        <w:pStyle w:val="7"/>
        <w:snapToGrid w:val="0"/>
        <w:spacing w:line="440" w:lineRule="exact"/>
        <w:jc w:val="left"/>
        <w:rPr>
          <w:rFonts w:hAnsi="宋体"/>
          <w:sz w:val="24"/>
        </w:rPr>
      </w:pPr>
    </w:p>
    <w:p>
      <w:pPr>
        <w:pStyle w:val="7"/>
        <w:snapToGrid w:val="0"/>
        <w:spacing w:line="440" w:lineRule="exact"/>
        <w:jc w:val="left"/>
        <w:rPr>
          <w:rFonts w:hAnsi="宋体"/>
          <w:sz w:val="24"/>
        </w:rPr>
      </w:pPr>
    </w:p>
    <w:p>
      <w:pPr>
        <w:pStyle w:val="24"/>
        <w:rPr>
          <w:rFonts w:hAnsi="宋体"/>
          <w:sz w:val="24"/>
        </w:rPr>
      </w:pPr>
      <w:r>
        <w:rPr>
          <w:rFonts w:hAnsi="宋体"/>
          <w:sz w:val="24"/>
        </w:rPr>
        <w:t xml:space="preserve">  </w:t>
      </w:r>
    </w:p>
    <w:p>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pPr>
        <w:pStyle w:val="4"/>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8"/>
      <w:bookmarkEnd w:id="9"/>
    </w:p>
    <w:p>
      <w:pPr>
        <w:rPr>
          <w:rFonts w:ascii="宋体" w:hAnsi="宋体"/>
          <w:b/>
          <w:sz w:val="24"/>
        </w:rPr>
      </w:pPr>
    </w:p>
    <w:p>
      <w:pPr>
        <w:pStyle w:val="6"/>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shd w:val="pct5" w:color="auto" w:fill="auto"/>
      <w:tabs>
        <w:tab w:val="right" w:pos="8403"/>
        <w:tab w:val="clear" w:pos="4153"/>
        <w:tab w:val="clear" w:pos="8306"/>
      </w:tabs>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4"/>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ZlZDMyM2VmOGRkYzA3ZjA3ZGEwODgyZjk3YTMifQ=="/>
  </w:docVars>
  <w:rsids>
    <w:rsidRoot w:val="00DA5989"/>
    <w:rsid w:val="000117DC"/>
    <w:rsid w:val="00030E20"/>
    <w:rsid w:val="00037B73"/>
    <w:rsid w:val="000D2E7B"/>
    <w:rsid w:val="000D5A77"/>
    <w:rsid w:val="000E299C"/>
    <w:rsid w:val="001166BF"/>
    <w:rsid w:val="00161E50"/>
    <w:rsid w:val="00186B04"/>
    <w:rsid w:val="001F192E"/>
    <w:rsid w:val="002765F7"/>
    <w:rsid w:val="002D7484"/>
    <w:rsid w:val="00332E74"/>
    <w:rsid w:val="003703D8"/>
    <w:rsid w:val="003A1CF7"/>
    <w:rsid w:val="003E0F44"/>
    <w:rsid w:val="00431BC1"/>
    <w:rsid w:val="0045351B"/>
    <w:rsid w:val="004565EE"/>
    <w:rsid w:val="00460EB7"/>
    <w:rsid w:val="004924D1"/>
    <w:rsid w:val="004958D9"/>
    <w:rsid w:val="00495D62"/>
    <w:rsid w:val="005148A2"/>
    <w:rsid w:val="00571B6D"/>
    <w:rsid w:val="00580C56"/>
    <w:rsid w:val="005F6F23"/>
    <w:rsid w:val="005F762B"/>
    <w:rsid w:val="006121E5"/>
    <w:rsid w:val="006157EC"/>
    <w:rsid w:val="0062776F"/>
    <w:rsid w:val="00644A3A"/>
    <w:rsid w:val="00646259"/>
    <w:rsid w:val="007240B1"/>
    <w:rsid w:val="007318BF"/>
    <w:rsid w:val="00750E8B"/>
    <w:rsid w:val="008060E9"/>
    <w:rsid w:val="008127EA"/>
    <w:rsid w:val="0084675F"/>
    <w:rsid w:val="008502F8"/>
    <w:rsid w:val="00854283"/>
    <w:rsid w:val="008C6BCE"/>
    <w:rsid w:val="00904210"/>
    <w:rsid w:val="009232E4"/>
    <w:rsid w:val="009740DF"/>
    <w:rsid w:val="009B1F7F"/>
    <w:rsid w:val="009D5481"/>
    <w:rsid w:val="009E639E"/>
    <w:rsid w:val="009F1B0E"/>
    <w:rsid w:val="00A00366"/>
    <w:rsid w:val="00A10091"/>
    <w:rsid w:val="00A40BC9"/>
    <w:rsid w:val="00A72AFF"/>
    <w:rsid w:val="00AB79CA"/>
    <w:rsid w:val="00B32D6C"/>
    <w:rsid w:val="00B60A07"/>
    <w:rsid w:val="00BC04FB"/>
    <w:rsid w:val="00BC50DB"/>
    <w:rsid w:val="00BE2FA7"/>
    <w:rsid w:val="00C949E9"/>
    <w:rsid w:val="00CA3F02"/>
    <w:rsid w:val="00CA59A3"/>
    <w:rsid w:val="00D0062B"/>
    <w:rsid w:val="00D11C83"/>
    <w:rsid w:val="00D87978"/>
    <w:rsid w:val="00D9662F"/>
    <w:rsid w:val="00DA5989"/>
    <w:rsid w:val="00DA7D9D"/>
    <w:rsid w:val="00DC4E67"/>
    <w:rsid w:val="00E12757"/>
    <w:rsid w:val="00E36CAF"/>
    <w:rsid w:val="00E51080"/>
    <w:rsid w:val="00EB0226"/>
    <w:rsid w:val="00EB385F"/>
    <w:rsid w:val="00ED6CD9"/>
    <w:rsid w:val="00EE39E3"/>
    <w:rsid w:val="00F11B49"/>
    <w:rsid w:val="00F35208"/>
    <w:rsid w:val="00F42599"/>
    <w:rsid w:val="00F90B98"/>
    <w:rsid w:val="00FB2E46"/>
    <w:rsid w:val="00FC4218"/>
    <w:rsid w:val="00FE5054"/>
    <w:rsid w:val="00FF01FD"/>
    <w:rsid w:val="01DF79C5"/>
    <w:rsid w:val="03C10461"/>
    <w:rsid w:val="0E2826F4"/>
    <w:rsid w:val="0FBA737B"/>
    <w:rsid w:val="14FF521F"/>
    <w:rsid w:val="163E7875"/>
    <w:rsid w:val="196B7938"/>
    <w:rsid w:val="1A22449B"/>
    <w:rsid w:val="1C091D46"/>
    <w:rsid w:val="1CA76EDA"/>
    <w:rsid w:val="1FE41E8B"/>
    <w:rsid w:val="20C703C4"/>
    <w:rsid w:val="21A47E8B"/>
    <w:rsid w:val="222C1D3E"/>
    <w:rsid w:val="23135BCA"/>
    <w:rsid w:val="251B083B"/>
    <w:rsid w:val="27FF5E1C"/>
    <w:rsid w:val="302D729E"/>
    <w:rsid w:val="346516FC"/>
    <w:rsid w:val="35577297"/>
    <w:rsid w:val="356C2617"/>
    <w:rsid w:val="3D6764E5"/>
    <w:rsid w:val="3DD501E2"/>
    <w:rsid w:val="423C49E9"/>
    <w:rsid w:val="455B692F"/>
    <w:rsid w:val="4CA23096"/>
    <w:rsid w:val="4FBC5BB0"/>
    <w:rsid w:val="5039282F"/>
    <w:rsid w:val="5055041F"/>
    <w:rsid w:val="510F05CE"/>
    <w:rsid w:val="56BF4844"/>
    <w:rsid w:val="579417EC"/>
    <w:rsid w:val="59D82CD6"/>
    <w:rsid w:val="5CE06680"/>
    <w:rsid w:val="5D417D61"/>
    <w:rsid w:val="5E59518E"/>
    <w:rsid w:val="632919C3"/>
    <w:rsid w:val="643C03E2"/>
    <w:rsid w:val="6C9C3206"/>
    <w:rsid w:val="6CCD4BDE"/>
    <w:rsid w:val="72B24F8E"/>
    <w:rsid w:val="735D3FB1"/>
    <w:rsid w:val="73B1722C"/>
    <w:rsid w:val="74294EDD"/>
    <w:rsid w:val="79415ED0"/>
    <w:rsid w:val="79D27D32"/>
    <w:rsid w:val="7A9B569E"/>
    <w:rsid w:val="7CE5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autoRedefine/>
    <w:qFormat/>
    <w:uiPriority w:val="0"/>
    <w:pPr>
      <w:keepNext/>
      <w:keepLines/>
      <w:widowControl w:val="0"/>
      <w:numPr>
        <w:ilvl w:val="1"/>
        <w:numId w:val="1"/>
      </w:numPr>
      <w:adjustRightInd w:val="0"/>
      <w:spacing w:before="260" w:after="260" w:line="416" w:lineRule="atLeast"/>
      <w:ind w:left="4376"/>
      <w:outlineLvl w:val="1"/>
    </w:pPr>
    <w:rPr>
      <w:rFonts w:ascii="Arial" w:hAnsi="Arial" w:eastAsia="黑体" w:cs="Times New Roman"/>
      <w:b/>
      <w:kern w:val="0"/>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UserStyle_0"/>
    <w:autoRedefine/>
    <w:qFormat/>
    <w:uiPriority w:val="0"/>
    <w:pPr>
      <w:textAlignment w:val="baseline"/>
    </w:pPr>
    <w:rPr>
      <w:rFonts w:ascii="宋体" w:hAnsi="Times New Roman" w:eastAsia="宋体" w:cstheme="minorBidi"/>
      <w:color w:val="000000"/>
      <w:sz w:val="24"/>
      <w:lang w:val="en-US" w:eastAsia="zh-CN" w:bidi="ar-SA"/>
    </w:rPr>
  </w:style>
  <w:style w:type="paragraph" w:styleId="5">
    <w:name w:val="Body Text 3"/>
    <w:basedOn w:val="1"/>
    <w:link w:val="20"/>
    <w:autoRedefine/>
    <w:semiHidden/>
    <w:unhideWhenUsed/>
    <w:qFormat/>
    <w:uiPriority w:val="99"/>
    <w:pPr>
      <w:spacing w:after="120"/>
    </w:pPr>
    <w:rPr>
      <w:sz w:val="16"/>
      <w:szCs w:val="16"/>
    </w:rPr>
  </w:style>
  <w:style w:type="paragraph" w:styleId="6">
    <w:name w:val="Body Text"/>
    <w:basedOn w:val="1"/>
    <w:link w:val="13"/>
    <w:autoRedefine/>
    <w:qFormat/>
    <w:uiPriority w:val="1"/>
    <w:rPr>
      <w:rFonts w:ascii="宋体" w:hAnsi="宋体" w:cs="宋体"/>
      <w:sz w:val="24"/>
      <w:szCs w:val="24"/>
    </w:rPr>
  </w:style>
  <w:style w:type="paragraph" w:styleId="7">
    <w:name w:val="Plain Text"/>
    <w:basedOn w:val="1"/>
    <w:link w:val="22"/>
    <w:autoRedefine/>
    <w:qFormat/>
    <w:uiPriority w:val="0"/>
    <w:pPr>
      <w:widowControl w:val="0"/>
      <w:adjustRightInd w:val="0"/>
      <w:spacing w:line="360" w:lineRule="atLeast"/>
    </w:pPr>
    <w:rPr>
      <w:rFonts w:ascii="宋体" w:hAnsi="Courier New" w:cs="Times New Roman"/>
      <w:kern w:val="0"/>
    </w:rPr>
  </w:style>
  <w:style w:type="paragraph" w:styleId="8">
    <w:name w:val="Date"/>
    <w:basedOn w:val="1"/>
    <w:next w:val="1"/>
    <w:link w:val="14"/>
    <w:autoRedefine/>
    <w:qFormat/>
    <w:uiPriority w:val="0"/>
    <w:pPr>
      <w:ind w:left="100" w:leftChars="2500"/>
    </w:pPr>
    <w:rPr>
      <w:rFonts w:eastAsia="仿宋_GB2312"/>
      <w:kern w:val="0"/>
      <w:sz w:val="32"/>
    </w:rPr>
  </w:style>
  <w:style w:type="paragraph" w:styleId="9">
    <w:name w:val="header"/>
    <w:basedOn w:val="1"/>
    <w:link w:val="23"/>
    <w:autoRedefine/>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table" w:styleId="11">
    <w:name w:val="Table Grid"/>
    <w:basedOn w:val="10"/>
    <w:autoRedefine/>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6"/>
    <w:autoRedefine/>
    <w:qFormat/>
    <w:uiPriority w:val="1"/>
    <w:rPr>
      <w:rFonts w:ascii="宋体" w:hAnsi="宋体" w:eastAsia="宋体" w:cs="宋体"/>
      <w:sz w:val="24"/>
      <w:szCs w:val="24"/>
    </w:rPr>
  </w:style>
  <w:style w:type="character" w:customStyle="1" w:styleId="14">
    <w:name w:val="日期 Char"/>
    <w:basedOn w:val="12"/>
    <w:link w:val="8"/>
    <w:autoRedefine/>
    <w:qFormat/>
    <w:uiPriority w:val="0"/>
    <w:rPr>
      <w:rFonts w:ascii="Times New Roman" w:hAnsi="Times New Roman" w:eastAsia="仿宋_GB2312"/>
      <w:kern w:val="0"/>
      <w:sz w:val="32"/>
      <w:szCs w:val="20"/>
    </w:rPr>
  </w:style>
  <w:style w:type="character" w:customStyle="1" w:styleId="15">
    <w:name w:val="NormalCharacter"/>
    <w:autoRedefine/>
    <w:qFormat/>
    <w:uiPriority w:val="0"/>
  </w:style>
  <w:style w:type="paragraph" w:customStyle="1" w:styleId="16">
    <w:name w:val="Heading1"/>
    <w:basedOn w:val="1"/>
    <w:next w:val="1"/>
    <w:link w:val="17"/>
    <w:autoRedefine/>
    <w:qFormat/>
    <w:uiPriority w:val="0"/>
    <w:pPr>
      <w:keepNext/>
      <w:keepLines/>
      <w:spacing w:before="340" w:after="330" w:line="578" w:lineRule="auto"/>
      <w:jc w:val="center"/>
    </w:pPr>
    <w:rPr>
      <w:rFonts w:cs="Times New Roman"/>
      <w:b/>
      <w:bCs/>
      <w:kern w:val="44"/>
      <w:sz w:val="44"/>
      <w:szCs w:val="44"/>
    </w:rPr>
  </w:style>
  <w:style w:type="character" w:customStyle="1" w:styleId="17">
    <w:name w:val="UserStyle_1"/>
    <w:link w:val="16"/>
    <w:autoRedefine/>
    <w:qFormat/>
    <w:uiPriority w:val="0"/>
    <w:rPr>
      <w:rFonts w:ascii="Times New Roman" w:hAnsi="Times New Roman" w:eastAsia="宋体" w:cs="Times New Roman"/>
      <w:b/>
      <w:bCs/>
      <w:kern w:val="44"/>
      <w:sz w:val="44"/>
      <w:szCs w:val="44"/>
    </w:rPr>
  </w:style>
  <w:style w:type="paragraph" w:customStyle="1" w:styleId="18">
    <w:name w:val="UserStyle_29"/>
    <w:basedOn w:val="1"/>
    <w:autoRedefine/>
    <w:qFormat/>
    <w:uiPriority w:val="0"/>
    <w:rPr>
      <w:kern w:val="0"/>
      <w:szCs w:val="21"/>
    </w:rPr>
  </w:style>
  <w:style w:type="paragraph" w:customStyle="1" w:styleId="19">
    <w:name w:val="CM44"/>
    <w:next w:val="8"/>
    <w:autoRedefine/>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character" w:customStyle="1" w:styleId="20">
    <w:name w:val="正文文本 3 Char"/>
    <w:basedOn w:val="12"/>
    <w:link w:val="5"/>
    <w:autoRedefine/>
    <w:semiHidden/>
    <w:qFormat/>
    <w:uiPriority w:val="99"/>
    <w:rPr>
      <w:rFonts w:ascii="Times New Roman" w:hAnsi="Times New Roman" w:eastAsia="宋体"/>
      <w:sz w:val="16"/>
      <w:szCs w:val="16"/>
    </w:rPr>
  </w:style>
  <w:style w:type="character" w:customStyle="1" w:styleId="21">
    <w:name w:val="标题 2 Char"/>
    <w:basedOn w:val="12"/>
    <w:link w:val="4"/>
    <w:autoRedefine/>
    <w:qFormat/>
    <w:uiPriority w:val="0"/>
    <w:rPr>
      <w:rFonts w:ascii="Arial" w:hAnsi="Arial" w:eastAsia="黑体" w:cs="Times New Roman"/>
      <w:b/>
      <w:kern w:val="0"/>
      <w:sz w:val="32"/>
      <w:szCs w:val="20"/>
    </w:rPr>
  </w:style>
  <w:style w:type="character" w:customStyle="1" w:styleId="22">
    <w:name w:val="纯文本 Char"/>
    <w:basedOn w:val="12"/>
    <w:link w:val="7"/>
    <w:autoRedefine/>
    <w:qFormat/>
    <w:uiPriority w:val="0"/>
    <w:rPr>
      <w:rFonts w:ascii="宋体" w:hAnsi="Courier New" w:eastAsia="宋体" w:cs="Times New Roman"/>
      <w:kern w:val="0"/>
      <w:szCs w:val="20"/>
    </w:rPr>
  </w:style>
  <w:style w:type="character" w:customStyle="1" w:styleId="23">
    <w:name w:val="页眉 Char"/>
    <w:basedOn w:val="12"/>
    <w:link w:val="9"/>
    <w:autoRedefine/>
    <w:qFormat/>
    <w:uiPriority w:val="0"/>
    <w:rPr>
      <w:rFonts w:ascii="Times New Roman" w:hAnsi="Times New Roman" w:eastAsia="宋体" w:cs="Times New Roman"/>
      <w:sz w:val="18"/>
      <w:szCs w:val="18"/>
    </w:rPr>
  </w:style>
  <w:style w:type="paragraph" w:customStyle="1" w:styleId="24">
    <w:name w:val="样式3"/>
    <w:basedOn w:val="7"/>
    <w:autoRedefine/>
    <w:qFormat/>
    <w:uiPriority w:val="0"/>
    <w:pPr>
      <w:adjustRightInd/>
      <w:spacing w:line="0" w:lineRule="atLeast"/>
      <w:textAlignment w:val="auto"/>
      <w:outlineLvl w:val="0"/>
    </w:pPr>
    <w:rPr>
      <w:kern w:val="2"/>
      <w:sz w:val="28"/>
    </w:rPr>
  </w:style>
  <w:style w:type="character" w:customStyle="1" w:styleId="25">
    <w:name w:val="标题 1 Char"/>
    <w:basedOn w:val="12"/>
    <w:link w:val="3"/>
    <w:autoRedefine/>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2204</Words>
  <Characters>2428</Characters>
  <Lines>30</Lines>
  <Paragraphs>8</Paragraphs>
  <TotalTime>1008</TotalTime>
  <ScaleCrop>false</ScaleCrop>
  <LinksUpToDate>false</LinksUpToDate>
  <CharactersWithSpaces>3392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2022-12-13T00:18:00Z</dcterms:created>
  <dc:creator>Administrator</dc:creator>
  <cp:lastModifiedBy>HeJL</cp:lastModifiedBy>
  <cp:lastPrinted>2023-07-10T02:13:00Z</cp:lastPrinted>
  <dcterms:modified xsi:type="dcterms:W3CDTF">2024-01-04T09:01:20Z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8615AC66F496424FA6036FA1D0662483</vt:lpwstr>
  </property>
</Properties>
</file>