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cs="宋体"/>
          <w:kern w:val="0"/>
          <w:sz w:val="24"/>
          <w:szCs w:val="24"/>
        </w:rPr>
      </w:pPr>
      <w:r>
        <w:rPr>
          <w:rFonts w:hint="eastAsia" w:ascii="宋体" w:hAnsi="宋体" w:cs="宋体"/>
          <w:b/>
          <w:bCs/>
          <w:kern w:val="0"/>
          <w:sz w:val="44"/>
        </w:rPr>
        <w:t>竞争性磋商采购公告</w:t>
      </w:r>
    </w:p>
    <w:p>
      <w:pPr>
        <w:widowControl/>
        <w:spacing w:before="75" w:after="75"/>
        <w:jc w:val="center"/>
        <w:rPr>
          <w:rFonts w:ascii="宋体" w:cs="宋体"/>
          <w:kern w:val="0"/>
          <w:sz w:val="24"/>
          <w:szCs w:val="24"/>
        </w:rPr>
      </w:pPr>
    </w:p>
    <w:p>
      <w:pPr>
        <w:widowControl/>
        <w:spacing w:before="75" w:after="75" w:line="435" w:lineRule="atLeast"/>
        <w:jc w:val="left"/>
        <w:rPr>
          <w:rFonts w:ascii="宋体" w:cs="宋体"/>
          <w:kern w:val="0"/>
          <w:sz w:val="24"/>
          <w:szCs w:val="24"/>
        </w:rPr>
      </w:pPr>
      <w:r>
        <w:rPr>
          <w:rFonts w:ascii="宋体" w:cs="宋体"/>
          <w:kern w:val="0"/>
          <w:sz w:val="24"/>
          <w:szCs w:val="24"/>
        </w:rPr>
        <w:t xml:space="preserve">     </w:t>
      </w:r>
      <w:r>
        <w:rPr>
          <w:rFonts w:ascii="宋体" w:hAnsi="宋体" w:cs="宋体"/>
          <w:kern w:val="0"/>
          <w:sz w:val="24"/>
          <w:szCs w:val="24"/>
          <w:u w:val="single"/>
        </w:rPr>
        <w:t xml:space="preserve"> </w:t>
      </w:r>
      <w:r>
        <w:rPr>
          <w:rStyle w:val="5"/>
          <w:sz w:val="24"/>
          <w:szCs w:val="24"/>
          <w:u w:val="single"/>
        </w:rPr>
        <w:t>南平武夷交通发展有限公司</w:t>
      </w:r>
      <w:r>
        <w:rPr>
          <w:rFonts w:hint="eastAsia" w:ascii="宋体" w:hAnsi="宋体" w:cs="宋体"/>
          <w:kern w:val="0"/>
          <w:sz w:val="24"/>
          <w:szCs w:val="24"/>
        </w:rPr>
        <w:t>已根据采购相关法律法规，经相应程序确定采用</w:t>
      </w:r>
      <w:r>
        <w:rPr>
          <w:rFonts w:ascii="宋体" w:cs="宋体"/>
          <w:kern w:val="0"/>
          <w:sz w:val="24"/>
          <w:szCs w:val="24"/>
          <w:u w:val="single"/>
        </w:rPr>
        <w:t> </w:t>
      </w:r>
      <w:r>
        <w:rPr>
          <w:rFonts w:hint="eastAsia" w:ascii="宋体" w:hAnsi="宋体" w:cs="宋体"/>
          <w:kern w:val="0"/>
          <w:sz w:val="24"/>
          <w:szCs w:val="24"/>
          <w:u w:val="single"/>
        </w:rPr>
        <w:t>竞争性磋商</w:t>
      </w:r>
      <w:r>
        <w:rPr>
          <w:rFonts w:ascii="宋体" w:cs="宋体"/>
          <w:kern w:val="0"/>
          <w:sz w:val="24"/>
          <w:szCs w:val="24"/>
          <w:u w:val="single"/>
        </w:rPr>
        <w:t> </w:t>
      </w:r>
      <w:r>
        <w:rPr>
          <w:rFonts w:hint="eastAsia" w:ascii="宋体" w:hAnsi="宋体" w:cs="宋体"/>
          <w:kern w:val="0"/>
          <w:sz w:val="24"/>
          <w:szCs w:val="24"/>
        </w:rPr>
        <w:t>方式组织</w:t>
      </w:r>
      <w:r>
        <w:rPr>
          <w:rStyle w:val="5"/>
          <w:sz w:val="24"/>
          <w:szCs w:val="24"/>
          <w:u w:val="single"/>
        </w:rPr>
        <w:t>南平武夷交通发展有限公司2022年出租车专属装备（附属）采购</w:t>
      </w:r>
      <w:r>
        <w:rPr>
          <w:rFonts w:hint="eastAsia" w:ascii="宋体" w:hAnsi="宋体" w:cs="宋体"/>
          <w:bCs/>
          <w:kern w:val="0"/>
          <w:sz w:val="24"/>
          <w:szCs w:val="24"/>
          <w:u w:val="single"/>
        </w:rPr>
        <w:t>项目</w:t>
      </w:r>
      <w:r>
        <w:rPr>
          <w:rFonts w:hint="eastAsia" w:ascii="宋体" w:hAnsi="宋体" w:cs="宋体"/>
          <w:kern w:val="0"/>
          <w:sz w:val="24"/>
          <w:szCs w:val="24"/>
        </w:rPr>
        <w:t>（以下简称：</w:t>
      </w:r>
      <w:r>
        <w:rPr>
          <w:rFonts w:hint="eastAsia" w:ascii="宋体" w:cs="宋体"/>
          <w:kern w:val="0"/>
          <w:sz w:val="24"/>
          <w:szCs w:val="24"/>
        </w:rPr>
        <w:t>“</w:t>
      </w:r>
      <w:r>
        <w:rPr>
          <w:rFonts w:hint="eastAsia" w:ascii="宋体" w:hAnsi="宋体" w:cs="宋体"/>
          <w:kern w:val="0"/>
          <w:sz w:val="24"/>
          <w:szCs w:val="24"/>
        </w:rPr>
        <w:t>本项目</w:t>
      </w:r>
      <w:r>
        <w:rPr>
          <w:rFonts w:hint="eastAsia" w:ascii="宋体" w:cs="宋体"/>
          <w:kern w:val="0"/>
          <w:sz w:val="24"/>
          <w:szCs w:val="24"/>
        </w:rPr>
        <w:t>”</w:t>
      </w:r>
      <w:r>
        <w:rPr>
          <w:rFonts w:hint="eastAsia" w:ascii="宋体" w:hAnsi="宋体" w:cs="宋体"/>
          <w:kern w:val="0"/>
          <w:sz w:val="24"/>
          <w:szCs w:val="24"/>
        </w:rPr>
        <w:t>）的采购活动，现欢迎国内合格的供应商前来参加。本项目由采购人委托</w:t>
      </w:r>
      <w:r>
        <w:rPr>
          <w:rFonts w:ascii="宋体" w:hAnsi="宋体" w:cs="宋体"/>
          <w:kern w:val="0"/>
          <w:sz w:val="24"/>
          <w:szCs w:val="24"/>
          <w:u w:val="single"/>
        </w:rPr>
        <w:t xml:space="preserve"> </w:t>
      </w:r>
      <w:r>
        <w:rPr>
          <w:rFonts w:hint="eastAsia" w:ascii="宋体" w:hAnsi="宋体" w:cs="宋体"/>
          <w:kern w:val="0"/>
          <w:sz w:val="24"/>
          <w:szCs w:val="24"/>
          <w:u w:val="single"/>
        </w:rPr>
        <w:t>福建晖源工程咨询有限公司</w:t>
      </w:r>
      <w:r>
        <w:rPr>
          <w:rFonts w:ascii="宋体" w:hAnsi="宋体" w:cs="宋体"/>
          <w:kern w:val="0"/>
          <w:sz w:val="24"/>
          <w:szCs w:val="24"/>
          <w:u w:val="single"/>
        </w:rPr>
        <w:t xml:space="preserve"> </w:t>
      </w:r>
      <w:r>
        <w:rPr>
          <w:rFonts w:hint="eastAsia" w:ascii="宋体" w:hAnsi="宋体" w:cs="宋体"/>
          <w:kern w:val="0"/>
          <w:sz w:val="24"/>
          <w:szCs w:val="24"/>
        </w:rPr>
        <w:t>开展竞争性磋商活动。</w:t>
      </w:r>
    </w:p>
    <w:p>
      <w:pPr>
        <w:widowControl/>
        <w:spacing w:before="75" w:after="75" w:line="435"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1</w:t>
      </w:r>
      <w:r>
        <w:rPr>
          <w:rFonts w:hint="eastAsia" w:ascii="宋体" w:hAnsi="宋体" w:cs="宋体"/>
          <w:kern w:val="0"/>
          <w:sz w:val="24"/>
          <w:szCs w:val="24"/>
        </w:rPr>
        <w:t>、项目名称：</w:t>
      </w:r>
      <w:r>
        <w:rPr>
          <w:rFonts w:hint="eastAsia" w:ascii="宋体" w:hAnsi="宋体" w:cs="宋体"/>
          <w:bCs/>
          <w:kern w:val="0"/>
          <w:sz w:val="24"/>
          <w:szCs w:val="24"/>
        </w:rPr>
        <w:t>南平武夷交通发展有限公司2022年出租车专属装备（附属）采购项目</w:t>
      </w:r>
      <w:r>
        <w:rPr>
          <w:rFonts w:hint="eastAsia" w:ascii="宋体" w:hAnsi="宋体" w:cs="宋体"/>
          <w:kern w:val="0"/>
          <w:sz w:val="24"/>
          <w:szCs w:val="24"/>
        </w:rPr>
        <w:t>。</w:t>
      </w:r>
    </w:p>
    <w:p>
      <w:pPr>
        <w:widowControl/>
        <w:spacing w:before="75" w:after="75" w:line="435"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2</w:t>
      </w:r>
      <w:r>
        <w:rPr>
          <w:rFonts w:hint="eastAsia" w:ascii="宋体" w:hAnsi="宋体" w:cs="宋体"/>
          <w:kern w:val="0"/>
          <w:sz w:val="24"/>
          <w:szCs w:val="24"/>
        </w:rPr>
        <w:t>、项目编号：</w:t>
      </w:r>
      <w:r>
        <w:rPr>
          <w:rFonts w:hint="eastAsia" w:ascii="宋体" w:hAnsi="宋体" w:cs="宋体"/>
          <w:bCs/>
          <w:kern w:val="0"/>
          <w:sz w:val="24"/>
          <w:szCs w:val="24"/>
        </w:rPr>
        <w:t>福晖采招【</w:t>
      </w:r>
      <w:r>
        <w:rPr>
          <w:rFonts w:ascii="宋体" w:hAnsi="宋体" w:cs="宋体"/>
          <w:bCs/>
          <w:kern w:val="0"/>
          <w:sz w:val="24"/>
          <w:szCs w:val="24"/>
        </w:rPr>
        <w:t>2022</w:t>
      </w:r>
      <w:r>
        <w:rPr>
          <w:rFonts w:hint="eastAsia" w:ascii="宋体" w:hAnsi="宋体" w:cs="宋体"/>
          <w:bCs/>
          <w:kern w:val="0"/>
          <w:sz w:val="24"/>
          <w:szCs w:val="24"/>
        </w:rPr>
        <w:t>】</w:t>
      </w:r>
      <w:r>
        <w:rPr>
          <w:rFonts w:hint="eastAsia" w:ascii="宋体" w:hAnsi="宋体" w:cs="宋体"/>
          <w:bCs/>
          <w:kern w:val="0"/>
          <w:sz w:val="24"/>
          <w:szCs w:val="24"/>
          <w:lang w:val="en-US" w:eastAsia="zh-CN"/>
        </w:rPr>
        <w:t>022</w:t>
      </w:r>
      <w:r>
        <w:rPr>
          <w:rFonts w:hint="eastAsia" w:ascii="宋体" w:hAnsi="宋体" w:cs="宋体"/>
          <w:bCs/>
          <w:kern w:val="0"/>
          <w:sz w:val="24"/>
          <w:szCs w:val="24"/>
        </w:rPr>
        <w:t>号</w:t>
      </w:r>
      <w:r>
        <w:rPr>
          <w:rFonts w:hint="eastAsia" w:ascii="宋体" w:hAnsi="宋体" w:cs="宋体"/>
          <w:kern w:val="0"/>
          <w:sz w:val="24"/>
          <w:szCs w:val="24"/>
        </w:rPr>
        <w:t>。</w:t>
      </w:r>
    </w:p>
    <w:p>
      <w:pPr>
        <w:widowControl/>
        <w:spacing w:before="75" w:after="75" w:line="435"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3</w:t>
      </w:r>
      <w:r>
        <w:rPr>
          <w:rFonts w:hint="eastAsia" w:ascii="宋体" w:hAnsi="宋体" w:cs="宋体"/>
          <w:kern w:val="0"/>
          <w:sz w:val="24"/>
          <w:szCs w:val="24"/>
        </w:rPr>
        <w:t>、采购内容及要求：</w:t>
      </w:r>
    </w:p>
    <w:p>
      <w:pPr>
        <w:widowControl/>
        <w:spacing w:after="150"/>
        <w:jc w:val="center"/>
        <w:rPr>
          <w:rFonts w:ascii="宋体" w:cs="宋体"/>
          <w:kern w:val="0"/>
          <w:sz w:val="24"/>
          <w:szCs w:val="24"/>
        </w:rPr>
      </w:pPr>
      <w:r>
        <w:rPr>
          <w:rFonts w:ascii="宋体" w:hAnsi="宋体" w:cs="宋体"/>
          <w:sz w:val="24"/>
        </w:rPr>
        <w:t xml:space="preserve">                      </w:t>
      </w:r>
      <w:r>
        <w:rPr>
          <w:rFonts w:hint="eastAsia" w:ascii="宋体" w:hAnsi="宋体" w:cs="宋体"/>
          <w:sz w:val="24"/>
        </w:rPr>
        <w:t>《采购标的一览表》</w:t>
      </w:r>
      <w:r>
        <w:rPr>
          <w:rFonts w:ascii="宋体" w:hAnsi="宋体" w:cs="宋体"/>
          <w:sz w:val="24"/>
        </w:rPr>
        <w:t xml:space="preserve">          </w:t>
      </w:r>
      <w:r>
        <w:rPr>
          <w:rFonts w:hint="eastAsia" w:ascii="宋体" w:hAnsi="宋体" w:cs="宋体"/>
          <w:kern w:val="0"/>
          <w:sz w:val="24"/>
          <w:szCs w:val="24"/>
        </w:rPr>
        <w:t>金额单位：人民币 元</w:t>
      </w:r>
    </w:p>
    <w:tbl>
      <w:tblPr>
        <w:tblStyle w:val="4"/>
        <w:tblW w:w="9792" w:type="dxa"/>
        <w:tblInd w:w="-71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23"/>
        <w:gridCol w:w="1056"/>
        <w:gridCol w:w="384"/>
        <w:gridCol w:w="384"/>
        <w:gridCol w:w="1151"/>
        <w:gridCol w:w="1417"/>
        <w:gridCol w:w="1560"/>
        <w:gridCol w:w="850"/>
        <w:gridCol w:w="1333"/>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022" w:hRule="atLeast"/>
          <w:tblHeader/>
        </w:trPr>
        <w:tc>
          <w:tcPr>
            <w:tcW w:w="523" w:type="dxa"/>
            <w:tcBorders>
              <w:top w:val="outset" w:color="auto" w:sz="6" w:space="0"/>
              <w:bottom w:val="single" w:color="auto" w:sz="4" w:space="0"/>
              <w:right w:val="outset" w:color="auto" w:sz="6" w:space="0"/>
            </w:tcBorders>
            <w:vAlign w:val="center"/>
          </w:tcPr>
          <w:p>
            <w:pPr>
              <w:widowControl/>
              <w:jc w:val="center"/>
              <w:rPr>
                <w:rFonts w:ascii="宋体" w:cs="宋体"/>
                <w:kern w:val="0"/>
                <w:sz w:val="24"/>
                <w:szCs w:val="24"/>
              </w:rPr>
            </w:pPr>
            <w:r>
              <w:rPr>
                <w:rFonts w:hint="eastAsia" w:ascii="宋体" w:hAnsi="宋体" w:cs="宋体"/>
                <w:kern w:val="0"/>
                <w:sz w:val="24"/>
                <w:szCs w:val="24"/>
              </w:rPr>
              <w:t>合同包</w:t>
            </w:r>
          </w:p>
        </w:tc>
        <w:tc>
          <w:tcPr>
            <w:tcW w:w="1056" w:type="dxa"/>
            <w:tcBorders>
              <w:top w:val="outset" w:color="auto" w:sz="6" w:space="0"/>
              <w:left w:val="outset" w:color="auto" w:sz="6"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微软雅黑" w:hAnsi="微软雅黑" w:cs="宋体"/>
                <w:sz w:val="24"/>
              </w:rPr>
              <w:t>货物名称</w:t>
            </w:r>
          </w:p>
        </w:tc>
        <w:tc>
          <w:tcPr>
            <w:tcW w:w="384" w:type="dxa"/>
            <w:tcBorders>
              <w:top w:val="outset" w:color="auto" w:sz="6"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单位</w:t>
            </w:r>
          </w:p>
        </w:tc>
        <w:tc>
          <w:tcPr>
            <w:tcW w:w="384" w:type="dxa"/>
            <w:tcBorders>
              <w:top w:val="outset" w:color="auto" w:sz="6"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微软雅黑" w:hAnsi="微软雅黑" w:cs="宋体"/>
                <w:sz w:val="24"/>
              </w:rPr>
              <w:t>数量</w:t>
            </w:r>
          </w:p>
        </w:tc>
        <w:tc>
          <w:tcPr>
            <w:tcW w:w="1151" w:type="dxa"/>
            <w:tcBorders>
              <w:top w:val="outset" w:color="auto" w:sz="6"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sz w:val="24"/>
              </w:rPr>
              <w:t>最高单价限价</w:t>
            </w:r>
          </w:p>
        </w:tc>
        <w:tc>
          <w:tcPr>
            <w:tcW w:w="1417" w:type="dxa"/>
            <w:tcBorders>
              <w:top w:val="outset" w:color="auto" w:sz="6"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4"/>
              </w:rPr>
            </w:pPr>
            <w:r>
              <w:rPr>
                <w:rFonts w:hint="eastAsia" w:ascii="宋体" w:hAnsi="宋体" w:cs="宋体"/>
                <w:color w:val="000000"/>
                <w:sz w:val="24"/>
              </w:rPr>
              <w:t>最高总价</w:t>
            </w:r>
          </w:p>
          <w:p>
            <w:pPr>
              <w:widowControl/>
              <w:jc w:val="center"/>
              <w:rPr>
                <w:rFonts w:ascii="宋体" w:hAnsi="宋体" w:cs="宋体"/>
                <w:color w:val="000000"/>
                <w:sz w:val="24"/>
              </w:rPr>
            </w:pPr>
            <w:r>
              <w:rPr>
                <w:rFonts w:hint="eastAsia" w:ascii="宋体" w:hAnsi="宋体" w:cs="宋体"/>
                <w:color w:val="000000"/>
                <w:sz w:val="24"/>
              </w:rPr>
              <w:t>限价</w:t>
            </w:r>
          </w:p>
        </w:tc>
        <w:tc>
          <w:tcPr>
            <w:tcW w:w="1560" w:type="dxa"/>
            <w:tcBorders>
              <w:top w:val="outset" w:color="auto" w:sz="6"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color w:val="000000"/>
                <w:sz w:val="24"/>
              </w:rPr>
              <w:t>采购单位</w:t>
            </w:r>
          </w:p>
        </w:tc>
        <w:tc>
          <w:tcPr>
            <w:tcW w:w="850" w:type="dxa"/>
            <w:tcBorders>
              <w:top w:val="outset" w:color="auto" w:sz="6" w:space="0"/>
              <w:left w:val="single" w:color="auto" w:sz="4" w:space="0"/>
              <w:bottom w:val="single" w:color="auto" w:sz="4" w:space="0"/>
              <w:right w:val="outset" w:color="auto" w:sz="6" w:space="0"/>
            </w:tcBorders>
            <w:vAlign w:val="center"/>
          </w:tcPr>
          <w:p>
            <w:pPr>
              <w:widowControl/>
              <w:jc w:val="center"/>
              <w:rPr>
                <w:rFonts w:ascii="宋体" w:cs="宋体"/>
                <w:kern w:val="0"/>
                <w:sz w:val="24"/>
                <w:szCs w:val="24"/>
              </w:rPr>
            </w:pPr>
            <w:r>
              <w:rPr>
                <w:rFonts w:hint="eastAsia" w:ascii="宋体" w:hAnsi="宋体" w:cs="宋体"/>
                <w:color w:val="000000"/>
                <w:sz w:val="24"/>
              </w:rPr>
              <w:t>联系人</w:t>
            </w:r>
          </w:p>
        </w:tc>
        <w:tc>
          <w:tcPr>
            <w:tcW w:w="133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宋体"/>
                <w:kern w:val="0"/>
                <w:sz w:val="24"/>
                <w:szCs w:val="24"/>
              </w:rPr>
            </w:pPr>
            <w:r>
              <w:rPr>
                <w:rFonts w:hint="eastAsia" w:ascii="宋体" w:hAnsi="宋体" w:cs="宋体"/>
                <w:color w:val="000000"/>
                <w:sz w:val="24"/>
              </w:rPr>
              <w:t>联系电话</w:t>
            </w:r>
          </w:p>
        </w:tc>
        <w:tc>
          <w:tcPr>
            <w:tcW w:w="1134" w:type="dxa"/>
            <w:tcBorders>
              <w:top w:val="outset" w:color="auto" w:sz="6" w:space="0"/>
              <w:left w:val="outset" w:color="auto" w:sz="6" w:space="0"/>
              <w:bottom w:val="outset" w:color="auto" w:sz="6" w:space="0"/>
            </w:tcBorders>
            <w:vAlign w:val="center"/>
          </w:tcPr>
          <w:p>
            <w:pPr>
              <w:widowControl/>
              <w:jc w:val="center"/>
              <w:rPr>
                <w:rFonts w:ascii="宋体" w:cs="宋体"/>
                <w:kern w:val="0"/>
                <w:sz w:val="24"/>
                <w:szCs w:val="24"/>
              </w:rPr>
            </w:pPr>
            <w:r>
              <w:rPr>
                <w:rFonts w:hint="eastAsia" w:ascii="宋体" w:hAnsi="宋体" w:cs="宋体"/>
                <w:kern w:val="0"/>
                <w:sz w:val="24"/>
                <w:szCs w:val="24"/>
              </w:rPr>
              <w:t>磋商</w:t>
            </w:r>
          </w:p>
          <w:p>
            <w:pPr>
              <w:widowControl/>
              <w:jc w:val="center"/>
              <w:rPr>
                <w:rFonts w:ascii="宋体" w:cs="宋体"/>
                <w:kern w:val="0"/>
                <w:sz w:val="24"/>
                <w:szCs w:val="24"/>
              </w:rPr>
            </w:pPr>
            <w:r>
              <w:rPr>
                <w:rFonts w:hint="eastAsia" w:ascii="宋体" w:hAnsi="宋体" w:cs="宋体"/>
                <w:kern w:val="0"/>
                <w:sz w:val="24"/>
                <w:szCs w:val="24"/>
              </w:rPr>
              <w:t>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97" w:hRule="atLeast"/>
        </w:trPr>
        <w:tc>
          <w:tcPr>
            <w:tcW w:w="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szCs w:val="24"/>
              </w:rPr>
            </w:pPr>
            <w:r>
              <w:rPr>
                <w:rFonts w:ascii="宋体" w:hAnsi="宋体" w:cs="宋体"/>
                <w:kern w:val="0"/>
                <w:sz w:val="24"/>
                <w:szCs w:val="24"/>
              </w:rPr>
              <w:t>1</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sz w:val="24"/>
                <w:szCs w:val="24"/>
              </w:rPr>
              <w:t>出租车附属设备</w:t>
            </w:r>
          </w:p>
        </w:tc>
        <w:tc>
          <w:tcPr>
            <w:tcW w:w="384" w:type="dxa"/>
            <w:tcBorders>
              <w:top w:val="single" w:color="auto" w:sz="4" w:space="0"/>
              <w:left w:val="single" w:color="auto" w:sz="4" w:space="0"/>
              <w:bottom w:val="single" w:color="auto" w:sz="4" w:space="0"/>
              <w:right w:val="single" w:color="auto" w:sz="4" w:space="0"/>
            </w:tcBorders>
            <w:vAlign w:val="center"/>
          </w:tcPr>
          <w:p>
            <w:pPr>
              <w:widowControl/>
              <w:rPr>
                <w:rFonts w:ascii="宋体" w:cs="宋体"/>
                <w:kern w:val="0"/>
                <w:sz w:val="24"/>
                <w:szCs w:val="24"/>
              </w:rPr>
            </w:pPr>
            <w:r>
              <w:rPr>
                <w:rFonts w:ascii="宋体" w:hAnsi="宋体"/>
                <w:sz w:val="24"/>
                <w:szCs w:val="24"/>
              </w:rPr>
              <w:t>套</w:t>
            </w:r>
          </w:p>
        </w:tc>
        <w:tc>
          <w:tcPr>
            <w:tcW w:w="3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sz w:val="24"/>
                <w:szCs w:val="24"/>
              </w:rPr>
              <w:t>30</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sz w:val="24"/>
                <w:szCs w:val="24"/>
              </w:rPr>
              <w:t>7825.00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sz w:val="24"/>
                <w:szCs w:val="24"/>
              </w:rPr>
              <w:t>234750.00</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sz w:val="24"/>
                <w:szCs w:val="24"/>
              </w:rPr>
              <w:t>南平武夷交通发展有限公司</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sz w:val="24"/>
                <w:szCs w:val="24"/>
              </w:rPr>
              <w:t>陈先生</w:t>
            </w:r>
          </w:p>
        </w:tc>
        <w:tc>
          <w:tcPr>
            <w:tcW w:w="1333" w:type="dxa"/>
            <w:tcBorders>
              <w:top w:val="outset" w:color="auto" w:sz="6" w:space="0"/>
              <w:left w:val="single" w:color="auto" w:sz="4" w:space="0"/>
              <w:bottom w:val="outset" w:color="auto" w:sz="6" w:space="0"/>
              <w:right w:val="outset" w:color="auto" w:sz="6" w:space="0"/>
            </w:tcBorders>
            <w:vAlign w:val="center"/>
          </w:tcPr>
          <w:p>
            <w:pPr>
              <w:widowControl/>
              <w:jc w:val="center"/>
              <w:rPr>
                <w:rFonts w:ascii="宋体" w:cs="宋体"/>
                <w:b/>
                <w:kern w:val="0"/>
                <w:sz w:val="24"/>
                <w:szCs w:val="24"/>
              </w:rPr>
            </w:pPr>
            <w:r>
              <w:rPr>
                <w:rFonts w:ascii="宋体" w:hAnsi="宋体"/>
                <w:sz w:val="24"/>
                <w:szCs w:val="24"/>
              </w:rPr>
              <w:t>18960673312</w:t>
            </w:r>
          </w:p>
        </w:tc>
        <w:tc>
          <w:tcPr>
            <w:tcW w:w="1134" w:type="dxa"/>
            <w:tcBorders>
              <w:top w:val="outset" w:color="auto" w:sz="6" w:space="0"/>
              <w:left w:val="outset" w:color="auto" w:sz="6" w:space="0"/>
              <w:bottom w:val="outset" w:color="auto" w:sz="6" w:space="0"/>
            </w:tcBorders>
            <w:vAlign w:val="center"/>
          </w:tcPr>
          <w:p>
            <w:pPr>
              <w:widowControl/>
              <w:jc w:val="center"/>
              <w:rPr>
                <w:rFonts w:ascii="宋体" w:cs="宋体"/>
                <w:kern w:val="0"/>
                <w:sz w:val="24"/>
                <w:szCs w:val="24"/>
              </w:rPr>
            </w:pPr>
            <w:r>
              <w:rPr>
                <w:rFonts w:hint="eastAsia" w:ascii="宋体" w:cs="宋体"/>
                <w:kern w:val="0"/>
                <w:sz w:val="24"/>
                <w:szCs w:val="24"/>
              </w:rPr>
              <w:t>4</w:t>
            </w:r>
            <w:r>
              <w:rPr>
                <w:rFonts w:ascii="宋体" w:cs="宋体"/>
                <w:kern w:val="0"/>
                <w:sz w:val="24"/>
                <w:szCs w:val="24"/>
              </w:rPr>
              <w:t>600.00</w:t>
            </w:r>
          </w:p>
        </w:tc>
      </w:tr>
    </w:tbl>
    <w:p>
      <w:pPr>
        <w:widowControl/>
        <w:spacing w:before="75" w:after="75" w:line="435" w:lineRule="atLeast"/>
        <w:ind w:firstLine="48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、供应商的资格要求：</w:t>
      </w:r>
    </w:p>
    <w:p>
      <w:pPr>
        <w:widowControl/>
        <w:spacing w:before="75" w:after="75" w:line="435" w:lineRule="atLeast"/>
        <w:ind w:firstLine="480"/>
        <w:jc w:val="left"/>
        <w:rPr>
          <w:rFonts w:ascii="宋体" w:hAnsi="宋体" w:cs="宋体"/>
          <w:kern w:val="0"/>
          <w:sz w:val="24"/>
          <w:szCs w:val="24"/>
        </w:rPr>
      </w:pPr>
      <w:r>
        <w:rPr>
          <w:rFonts w:hint="eastAsia" w:ascii="宋体" w:hAnsi="宋体" w:cs="宋体"/>
          <w:kern w:val="0"/>
          <w:sz w:val="24"/>
          <w:szCs w:val="24"/>
        </w:rPr>
        <w:t>（1）凡有能力提供本采购文件所述货物及服务，具有独立法人资格的境内供应商。</w:t>
      </w:r>
    </w:p>
    <w:p>
      <w:pPr>
        <w:widowControl/>
        <w:spacing w:before="75" w:after="75" w:line="435" w:lineRule="atLeast"/>
        <w:ind w:firstLine="480"/>
        <w:jc w:val="left"/>
        <w:rPr>
          <w:rFonts w:ascii="宋体" w:hAnsi="宋体" w:cs="宋体"/>
          <w:kern w:val="0"/>
          <w:sz w:val="24"/>
          <w:szCs w:val="24"/>
        </w:rPr>
      </w:pPr>
      <w:r>
        <w:rPr>
          <w:rFonts w:hint="eastAsia" w:ascii="宋体" w:hAnsi="宋体" w:cs="宋体"/>
          <w:kern w:val="0"/>
          <w:sz w:val="24"/>
          <w:szCs w:val="24"/>
        </w:rPr>
        <w:t>（2）供应商在“信用中国”网站（http://www.creditchina.gov.cn/）中不得被列入失信被执行人、重大税收违法案件当事人名单。</w:t>
      </w:r>
    </w:p>
    <w:p>
      <w:pPr>
        <w:widowControl/>
        <w:spacing w:before="75" w:after="75" w:line="435" w:lineRule="atLeast"/>
        <w:ind w:firstLine="480"/>
        <w:jc w:val="left"/>
        <w:rPr>
          <w:rFonts w:ascii="宋体" w:hAnsi="宋体" w:cs="宋体"/>
          <w:kern w:val="0"/>
          <w:sz w:val="24"/>
          <w:szCs w:val="24"/>
        </w:rPr>
      </w:pPr>
      <w:r>
        <w:rPr>
          <w:rFonts w:hint="eastAsia" w:ascii="宋体" w:hAnsi="宋体" w:cs="宋体"/>
          <w:kern w:val="0"/>
          <w:sz w:val="24"/>
          <w:szCs w:val="24"/>
        </w:rPr>
        <w:t>【说明：须提供本项目采购公告发布日期之后通过“信用中国”网站（www.creditchina.gov.cn）查询上述信息查询结果网页打印件（或截图）。】</w:t>
      </w:r>
    </w:p>
    <w:p>
      <w:pPr>
        <w:widowControl/>
        <w:spacing w:before="75" w:after="75" w:line="435" w:lineRule="atLeast"/>
        <w:ind w:firstLine="480"/>
        <w:jc w:val="left"/>
        <w:rPr>
          <w:rFonts w:ascii="宋体" w:hAnsi="宋体" w:cs="宋体"/>
          <w:kern w:val="0"/>
          <w:sz w:val="24"/>
          <w:szCs w:val="24"/>
        </w:rPr>
      </w:pPr>
      <w:r>
        <w:rPr>
          <w:rFonts w:hint="eastAsia" w:ascii="宋体" w:hAnsi="宋体" w:cs="宋体"/>
          <w:kern w:val="0"/>
          <w:sz w:val="24"/>
          <w:szCs w:val="24"/>
        </w:rPr>
        <w:t>（3）供应商在投标时须对其前三年无重大犯罪记录及无行贿犯罪情形进行声明或承诺。</w:t>
      </w:r>
    </w:p>
    <w:p>
      <w:pPr>
        <w:widowControl/>
        <w:spacing w:before="75" w:after="75" w:line="435" w:lineRule="atLeast"/>
        <w:ind w:firstLine="480"/>
        <w:jc w:val="left"/>
        <w:rPr>
          <w:rFonts w:ascii="宋体" w:cs="宋体"/>
          <w:kern w:val="0"/>
          <w:sz w:val="24"/>
          <w:szCs w:val="24"/>
        </w:rPr>
      </w:pPr>
      <w:r>
        <w:rPr>
          <w:rFonts w:hint="eastAsia" w:ascii="宋体" w:hAnsi="宋体" w:cs="宋体"/>
          <w:kern w:val="0"/>
          <w:sz w:val="24"/>
          <w:szCs w:val="24"/>
        </w:rPr>
        <w:t>（4）本项目不接受联合体投标。</w:t>
      </w:r>
    </w:p>
    <w:p>
      <w:pPr>
        <w:widowControl/>
        <w:spacing w:before="75" w:after="75" w:line="435" w:lineRule="atLeast"/>
        <w:ind w:firstLine="480"/>
        <w:jc w:val="left"/>
        <w:rPr>
          <w:rFonts w:ascii="宋体" w:cs="宋体"/>
          <w:b/>
          <w:bCs/>
          <w:kern w:val="0"/>
          <w:sz w:val="24"/>
          <w:szCs w:val="24"/>
        </w:rPr>
      </w:pPr>
      <w:r>
        <w:rPr>
          <w:rFonts w:hint="eastAsia" w:ascii="宋体" w:hAnsi="宋体" w:cs="宋体"/>
          <w:b/>
          <w:bCs/>
          <w:kern w:val="0"/>
          <w:sz w:val="24"/>
          <w:szCs w:val="24"/>
        </w:rPr>
        <w:t>※投标人资格审查的其他条件要求的具体内容详见竞争性磋商须知前附表和磋商文件第五章</w:t>
      </w:r>
      <w:r>
        <w:rPr>
          <w:rFonts w:ascii="宋体" w:cs="宋体"/>
          <w:b/>
          <w:bCs/>
          <w:kern w:val="0"/>
          <w:sz w:val="24"/>
          <w:szCs w:val="24"/>
        </w:rPr>
        <w:t>.</w:t>
      </w:r>
    </w:p>
    <w:p>
      <w:pPr>
        <w:widowControl/>
        <w:spacing w:before="75" w:after="75" w:line="435"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5</w:t>
      </w:r>
      <w:r>
        <w:rPr>
          <w:rFonts w:hint="eastAsia" w:ascii="宋体" w:hAnsi="宋体" w:cs="宋体"/>
          <w:kern w:val="0"/>
          <w:sz w:val="24"/>
          <w:szCs w:val="24"/>
        </w:rPr>
        <w:t>、</w:t>
      </w:r>
      <w:r>
        <w:rPr>
          <w:rFonts w:ascii="宋体" w:hAnsi="宋体" w:cs="宋体"/>
          <w:kern w:val="0"/>
          <w:sz w:val="24"/>
          <w:szCs w:val="24"/>
        </w:rPr>
        <w:t xml:space="preserve"> </w:t>
      </w:r>
      <w:r>
        <w:rPr>
          <w:rFonts w:hint="eastAsia" w:ascii="宋体" w:hAnsi="宋体" w:cs="宋体"/>
          <w:kern w:val="0"/>
          <w:sz w:val="24"/>
          <w:szCs w:val="24"/>
        </w:rPr>
        <w:t>获取磋商文件时间、地点、方式：</w:t>
      </w:r>
      <w:r>
        <w:rPr>
          <w:rFonts w:ascii="宋体" w:hAnsi="宋体" w:cs="宋体"/>
          <w:kern w:val="0"/>
          <w:sz w:val="24"/>
          <w:szCs w:val="24"/>
        </w:rPr>
        <w:t xml:space="preserve"> </w:t>
      </w:r>
    </w:p>
    <w:p>
      <w:pPr>
        <w:widowControl/>
        <w:spacing w:before="75" w:after="75" w:line="435" w:lineRule="atLeast"/>
        <w:jc w:val="left"/>
        <w:rPr>
          <w:rFonts w:ascii="宋体" w:cs="宋体"/>
          <w:kern w:val="0"/>
          <w:sz w:val="24"/>
          <w:szCs w:val="24"/>
        </w:rPr>
      </w:pPr>
      <w:r>
        <w:rPr>
          <w:rFonts w:ascii="宋体" w:cs="宋体"/>
          <w:kern w:val="0"/>
          <w:sz w:val="24"/>
          <w:szCs w:val="24"/>
          <w:shd w:val="clear" w:color="auto" w:fill="FFFFFF"/>
        </w:rPr>
        <w:t> </w:t>
      </w:r>
      <w:r>
        <w:rPr>
          <w:rFonts w:ascii="宋体" w:hAnsi="宋体" w:cs="宋体"/>
          <w:kern w:val="0"/>
          <w:sz w:val="24"/>
          <w:szCs w:val="24"/>
          <w:shd w:val="clear" w:color="auto" w:fill="FFFFFF"/>
        </w:rPr>
        <w:t xml:space="preserve"> </w:t>
      </w:r>
      <w:r>
        <w:rPr>
          <w:rFonts w:asci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凡有意参加供应商，请于</w:t>
      </w:r>
      <w:r>
        <w:rPr>
          <w:rFonts w:ascii="宋体" w:hAnsi="宋体" w:cs="宋体"/>
          <w:kern w:val="0"/>
          <w:sz w:val="24"/>
          <w:szCs w:val="24"/>
        </w:rPr>
        <w:t xml:space="preserve">  2022</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17</w:t>
      </w:r>
      <w:r>
        <w:rPr>
          <w:rFonts w:hint="eastAsia" w:ascii="宋体" w:hAnsi="宋体" w:cs="宋体"/>
          <w:kern w:val="0"/>
          <w:sz w:val="24"/>
          <w:szCs w:val="24"/>
        </w:rPr>
        <w:t>日至</w:t>
      </w:r>
      <w:r>
        <w:rPr>
          <w:rFonts w:ascii="宋体" w:hAnsi="宋体" w:cs="宋体"/>
          <w:kern w:val="0"/>
          <w:sz w:val="24"/>
          <w:szCs w:val="24"/>
        </w:rPr>
        <w:t xml:space="preserve"> 2022</w:t>
      </w:r>
      <w:r>
        <w:rPr>
          <w:rFonts w:hint="eastAsia" w:ascii="宋体" w:hAnsi="宋体" w:cs="宋体"/>
          <w:kern w:val="0"/>
          <w:sz w:val="24"/>
          <w:szCs w:val="24"/>
        </w:rPr>
        <w:t>年</w:t>
      </w:r>
      <w:r>
        <w:rPr>
          <w:rFonts w:hint="eastAsia" w:ascii="宋体" w:hAnsi="宋体" w:cs="宋体"/>
          <w:kern w:val="0"/>
          <w:sz w:val="24"/>
          <w:szCs w:val="24"/>
          <w:lang w:val="en-US" w:eastAsia="zh-CN"/>
        </w:rPr>
        <w:t>11</w:t>
      </w:r>
      <w:r>
        <w:rPr>
          <w:rFonts w:hint="eastAsia" w:ascii="宋体" w:hAnsi="宋体" w:cs="宋体"/>
          <w:kern w:val="0"/>
          <w:sz w:val="24"/>
          <w:szCs w:val="24"/>
        </w:rPr>
        <w:t>月</w:t>
      </w:r>
      <w:r>
        <w:rPr>
          <w:rFonts w:hint="eastAsia" w:ascii="宋体" w:hAnsi="宋体" w:cs="宋体"/>
          <w:kern w:val="0"/>
          <w:sz w:val="24"/>
          <w:szCs w:val="24"/>
          <w:lang w:val="en-US" w:eastAsia="zh-CN"/>
        </w:rPr>
        <w:t>25</w:t>
      </w:r>
      <w:r>
        <w:rPr>
          <w:rFonts w:hint="eastAsia" w:ascii="宋体" w:hAnsi="宋体" w:cs="宋体"/>
          <w:kern w:val="0"/>
          <w:sz w:val="24"/>
          <w:szCs w:val="24"/>
        </w:rPr>
        <w:t>日电汇到福建晖源工程咨询有限公司银行账户（账号：13911301040002420，开户行：农行南平三元支行），每份磋商文件售价</w:t>
      </w:r>
      <w:r>
        <w:rPr>
          <w:rFonts w:ascii="宋体" w:hAnsi="宋体" w:cs="宋体"/>
          <w:kern w:val="0"/>
          <w:sz w:val="24"/>
          <w:szCs w:val="24"/>
        </w:rPr>
        <w:t>200</w:t>
      </w:r>
      <w:r>
        <w:rPr>
          <w:rFonts w:hint="eastAsia" w:ascii="宋体" w:hAnsi="宋体" w:cs="宋体"/>
          <w:kern w:val="0"/>
          <w:sz w:val="24"/>
          <w:szCs w:val="24"/>
        </w:rPr>
        <w:t>元，售后不退，不接受其他方式购买磋商文件（如电话、网络）。参与本项目的供应商，请将购买磋商文件的转账凭证发送至</w:t>
      </w:r>
      <w:r>
        <w:rPr>
          <w:rFonts w:ascii="宋体" w:hAnsi="宋体" w:cs="宋体"/>
          <w:kern w:val="0"/>
          <w:sz w:val="24"/>
          <w:szCs w:val="24"/>
        </w:rPr>
        <w:t>631124547@qq.com</w:t>
      </w:r>
      <w:r>
        <w:rPr>
          <w:rFonts w:hint="eastAsia" w:ascii="宋体" w:hAnsi="宋体" w:cs="宋体"/>
          <w:kern w:val="0"/>
          <w:sz w:val="24"/>
          <w:szCs w:val="24"/>
        </w:rPr>
        <w:t>获取磋商文件。</w:t>
      </w:r>
    </w:p>
    <w:p>
      <w:pPr>
        <w:widowControl/>
        <w:spacing w:before="75" w:after="75" w:line="435" w:lineRule="atLeast"/>
        <w:jc w:val="left"/>
        <w:rPr>
          <w:rFonts w:ascii="宋体" w:cs="宋体"/>
          <w:kern w:val="0"/>
          <w:sz w:val="24"/>
          <w:szCs w:val="24"/>
        </w:rPr>
      </w:pPr>
      <w:r>
        <w:rPr>
          <w:rFonts w:ascii="宋体" w:hAnsi="宋体" w:cs="宋体"/>
          <w:kern w:val="0"/>
          <w:sz w:val="24"/>
          <w:szCs w:val="24"/>
        </w:rPr>
        <w:t xml:space="preserve">     6</w:t>
      </w:r>
      <w:r>
        <w:rPr>
          <w:rFonts w:hint="eastAsia" w:ascii="宋体" w:hAnsi="宋体" w:cs="宋体"/>
          <w:kern w:val="0"/>
          <w:sz w:val="24"/>
          <w:szCs w:val="24"/>
        </w:rPr>
        <w:t>、响应文件的递交：</w:t>
      </w:r>
    </w:p>
    <w:p>
      <w:pPr>
        <w:widowControl/>
        <w:spacing w:before="75" w:after="75" w:line="435" w:lineRule="atLeast"/>
        <w:ind w:firstLine="480" w:firstLineChars="200"/>
        <w:jc w:val="left"/>
        <w:rPr>
          <w:rFonts w:hint="eastAsia" w:ascii="宋体" w:hAnsi="宋体" w:cs="宋体"/>
          <w:sz w:val="24"/>
          <w:lang w:eastAsia="zh-CN"/>
        </w:rPr>
      </w:pPr>
      <w:r>
        <w:rPr>
          <w:rFonts w:ascii="宋体" w:hAnsi="宋体" w:cs="宋体"/>
          <w:kern w:val="0"/>
          <w:sz w:val="24"/>
          <w:szCs w:val="24"/>
        </w:rPr>
        <w:t>6.1</w:t>
      </w:r>
      <w:r>
        <w:rPr>
          <w:rFonts w:hint="eastAsia" w:ascii="宋体" w:hAnsi="宋体" w:cs="宋体"/>
          <w:kern w:val="0"/>
          <w:sz w:val="24"/>
          <w:szCs w:val="24"/>
        </w:rPr>
        <w:t>、</w:t>
      </w:r>
      <w:r>
        <w:rPr>
          <w:rFonts w:hint="eastAsia" w:ascii="宋体" w:hAnsi="宋体"/>
          <w:sz w:val="24"/>
          <w:szCs w:val="24"/>
        </w:rPr>
        <w:t>响应文件递交的截止时间</w:t>
      </w:r>
      <w:r>
        <w:rPr>
          <w:rFonts w:hint="eastAsia" w:ascii="宋体" w:hAnsi="宋体" w:cs="宋体"/>
          <w:kern w:val="0"/>
          <w:sz w:val="24"/>
          <w:szCs w:val="24"/>
        </w:rPr>
        <w:t>：</w:t>
      </w:r>
      <w:r>
        <w:rPr>
          <w:rFonts w:ascii="宋体" w:hAnsi="宋体" w:cs="宋体"/>
          <w:sz w:val="24"/>
        </w:rPr>
        <w:t xml:space="preserve"> 2022</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日（北京时间</w:t>
      </w:r>
      <w:r>
        <w:rPr>
          <w:rFonts w:hint="eastAsia" w:ascii="宋体" w:hAnsi="宋体" w:cs="宋体"/>
          <w:sz w:val="24"/>
          <w:lang w:eastAsia="zh-CN"/>
        </w:rPr>
        <w:t>）</w:t>
      </w:r>
    </w:p>
    <w:p>
      <w:pPr>
        <w:widowControl/>
        <w:spacing w:before="75" w:after="75" w:line="435" w:lineRule="atLeast"/>
        <w:ind w:firstLine="480" w:firstLineChars="200"/>
        <w:jc w:val="left"/>
        <w:rPr>
          <w:rFonts w:ascii="宋体" w:cs="宋体"/>
          <w:kern w:val="0"/>
          <w:sz w:val="24"/>
          <w:szCs w:val="24"/>
        </w:rPr>
      </w:pPr>
      <w:r>
        <w:rPr>
          <w:rFonts w:hint="eastAsia" w:ascii="宋体" w:hAnsi="宋体" w:cs="宋体"/>
          <w:sz w:val="24"/>
          <w:lang w:val="en-US" w:eastAsia="zh-CN"/>
        </w:rPr>
        <w:t>上</w:t>
      </w:r>
      <w:r>
        <w:rPr>
          <w:rFonts w:hint="eastAsia" w:ascii="宋体" w:hAnsi="宋体" w:cs="宋体"/>
          <w:sz w:val="24"/>
        </w:rPr>
        <w:t>午</w:t>
      </w:r>
      <w:r>
        <w:rPr>
          <w:rFonts w:hint="eastAsia" w:ascii="宋体" w:hAnsi="宋体" w:cs="宋体"/>
          <w:sz w:val="24"/>
          <w:lang w:val="en-US" w:eastAsia="zh-CN"/>
        </w:rPr>
        <w:t>09</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kern w:val="0"/>
          <w:sz w:val="24"/>
          <w:szCs w:val="24"/>
        </w:rPr>
        <w:t>；</w:t>
      </w:r>
    </w:p>
    <w:p>
      <w:pPr>
        <w:widowControl/>
        <w:spacing w:before="75" w:after="75" w:line="435" w:lineRule="atLeast"/>
        <w:ind w:firstLine="480" w:firstLineChars="200"/>
        <w:jc w:val="left"/>
        <w:rPr>
          <w:rFonts w:hAnsi="宋体"/>
          <w:sz w:val="24"/>
          <w:szCs w:val="24"/>
        </w:rPr>
      </w:pPr>
      <w:r>
        <w:rPr>
          <w:rFonts w:ascii="宋体" w:hAnsi="宋体" w:cs="宋体"/>
          <w:kern w:val="0"/>
          <w:sz w:val="24"/>
          <w:szCs w:val="24"/>
        </w:rPr>
        <w:t>6.2</w:t>
      </w:r>
      <w:r>
        <w:rPr>
          <w:rFonts w:hint="eastAsia" w:ascii="宋体" w:hAnsi="宋体" w:cs="宋体"/>
          <w:kern w:val="0"/>
          <w:sz w:val="24"/>
          <w:szCs w:val="24"/>
        </w:rPr>
        <w:t>、</w:t>
      </w:r>
      <w:r>
        <w:rPr>
          <w:rFonts w:hint="eastAsia" w:hAnsi="宋体"/>
          <w:sz w:val="24"/>
          <w:szCs w:val="24"/>
        </w:rPr>
        <w:t>递交响应文件方式：现场递交。</w:t>
      </w:r>
    </w:p>
    <w:p>
      <w:pPr>
        <w:widowControl/>
        <w:spacing w:before="75" w:after="75" w:line="435" w:lineRule="atLeast"/>
        <w:ind w:firstLine="1080" w:firstLineChars="450"/>
        <w:jc w:val="left"/>
        <w:rPr>
          <w:rFonts w:ascii="宋体" w:cs="宋体"/>
          <w:sz w:val="24"/>
        </w:rPr>
      </w:pPr>
      <w:r>
        <w:rPr>
          <w:rFonts w:hint="eastAsia" w:hAnsi="宋体"/>
          <w:sz w:val="24"/>
          <w:szCs w:val="24"/>
        </w:rPr>
        <w:t>递交</w:t>
      </w:r>
      <w:r>
        <w:rPr>
          <w:rFonts w:hint="eastAsia" w:ascii="宋体" w:hAnsi="宋体" w:cs="宋体"/>
          <w:kern w:val="0"/>
          <w:sz w:val="24"/>
          <w:szCs w:val="24"/>
        </w:rPr>
        <w:t>地点：</w:t>
      </w:r>
      <w:r>
        <w:rPr>
          <w:rFonts w:hint="eastAsia" w:ascii="宋体" w:hAnsi="宋体" w:cs="宋体"/>
          <w:sz w:val="24"/>
        </w:rPr>
        <w:t>南平市武夷新区建安大街</w:t>
      </w:r>
      <w:r>
        <w:rPr>
          <w:rFonts w:ascii="宋体" w:hAnsi="宋体" w:cs="宋体"/>
          <w:sz w:val="24"/>
        </w:rPr>
        <w:t>318</w:t>
      </w:r>
      <w:r>
        <w:rPr>
          <w:rFonts w:hint="eastAsia" w:ascii="宋体" w:hAnsi="宋体" w:cs="宋体"/>
          <w:sz w:val="24"/>
        </w:rPr>
        <w:t>号赤岸统建房</w:t>
      </w:r>
      <w:r>
        <w:rPr>
          <w:rFonts w:ascii="宋体" w:hAnsi="宋体" w:cs="宋体"/>
          <w:sz w:val="24"/>
        </w:rPr>
        <w:t>A</w:t>
      </w:r>
      <w:r>
        <w:rPr>
          <w:rFonts w:hint="eastAsia" w:ascii="宋体" w:hAnsi="宋体" w:cs="宋体"/>
          <w:sz w:val="24"/>
        </w:rPr>
        <w:t>区</w:t>
      </w:r>
      <w:r>
        <w:rPr>
          <w:rFonts w:ascii="宋体" w:hAnsi="宋体" w:cs="宋体"/>
          <w:sz w:val="24"/>
        </w:rPr>
        <w:t>4</w:t>
      </w:r>
      <w:r>
        <w:rPr>
          <w:rFonts w:hint="eastAsia" w:ascii="宋体" w:hAnsi="宋体" w:cs="宋体"/>
          <w:sz w:val="24"/>
        </w:rPr>
        <w:t>号楼</w:t>
      </w:r>
      <w:r>
        <w:rPr>
          <w:rFonts w:ascii="宋体" w:hAnsi="宋体" w:cs="宋体"/>
          <w:sz w:val="24"/>
        </w:rPr>
        <w:t>1104</w:t>
      </w:r>
      <w:r>
        <w:rPr>
          <w:rFonts w:hint="eastAsia" w:ascii="宋体" w:hAnsi="宋体" w:cs="宋体"/>
          <w:sz w:val="24"/>
        </w:rPr>
        <w:t>室晖源公司开标室</w:t>
      </w:r>
    </w:p>
    <w:p>
      <w:pPr>
        <w:widowControl/>
        <w:spacing w:before="75" w:after="75" w:line="435" w:lineRule="atLeast"/>
        <w:ind w:firstLine="480" w:firstLineChars="200"/>
        <w:jc w:val="left"/>
        <w:rPr>
          <w:rFonts w:ascii="宋体" w:cs="宋体"/>
          <w:kern w:val="0"/>
          <w:sz w:val="24"/>
          <w:szCs w:val="24"/>
        </w:rPr>
      </w:pPr>
      <w:r>
        <w:rPr>
          <w:rFonts w:ascii="宋体" w:hAnsi="宋体" w:cs="宋体"/>
          <w:kern w:val="0"/>
          <w:sz w:val="24"/>
          <w:szCs w:val="24"/>
        </w:rPr>
        <w:t>6.3</w:t>
      </w:r>
      <w:r>
        <w:rPr>
          <w:rFonts w:hint="eastAsia" w:ascii="宋体" w:hAnsi="宋体" w:cs="宋体"/>
          <w:kern w:val="0"/>
          <w:sz w:val="24"/>
          <w:szCs w:val="24"/>
        </w:rPr>
        <w:t>、</w:t>
      </w:r>
      <w:r>
        <w:rPr>
          <w:rFonts w:hint="eastAsia" w:ascii="宋体" w:hAnsi="宋体"/>
          <w:sz w:val="24"/>
          <w:szCs w:val="24"/>
        </w:rPr>
        <w:t>逾期收到或不符合规定的响应文件恕不接受</w:t>
      </w:r>
      <w:r>
        <w:rPr>
          <w:rFonts w:hint="eastAsia" w:ascii="宋体" w:hAnsi="宋体" w:cs="宋体"/>
          <w:kern w:val="0"/>
          <w:sz w:val="24"/>
          <w:szCs w:val="24"/>
        </w:rPr>
        <w:t>。</w:t>
      </w:r>
    </w:p>
    <w:p>
      <w:pPr>
        <w:widowControl/>
        <w:shd w:val="clear" w:color="auto" w:fill="FFFFFF"/>
        <w:tabs>
          <w:tab w:val="left" w:pos="510"/>
          <w:tab w:val="left" w:pos="900"/>
          <w:tab w:val="left" w:pos="1100"/>
        </w:tabs>
        <w:snapToGrid w:val="0"/>
        <w:spacing w:line="360" w:lineRule="auto"/>
        <w:ind w:firstLine="472" w:firstLineChars="196"/>
        <w:rPr>
          <w:rFonts w:ascii="宋体" w:cs="宋体"/>
          <w:b/>
          <w:bCs/>
          <w:sz w:val="24"/>
        </w:rPr>
      </w:pPr>
      <w:r>
        <w:rPr>
          <w:rFonts w:ascii="宋体" w:hAnsi="宋体" w:cs="宋体"/>
          <w:b/>
          <w:bCs/>
          <w:sz w:val="24"/>
        </w:rPr>
        <w:t>7</w:t>
      </w:r>
      <w:r>
        <w:rPr>
          <w:rFonts w:hint="eastAsia" w:ascii="宋体" w:hAnsi="宋体" w:cs="宋体"/>
          <w:b/>
          <w:bCs/>
          <w:sz w:val="24"/>
        </w:rPr>
        <w:t>、磋商保证金提交</w:t>
      </w:r>
    </w:p>
    <w:p>
      <w:pPr>
        <w:widowControl/>
        <w:spacing w:before="75" w:after="75" w:line="360" w:lineRule="auto"/>
        <w:ind w:firstLine="482"/>
        <w:rPr>
          <w:rFonts w:ascii="宋体" w:cs="宋体"/>
          <w:sz w:val="24"/>
        </w:rPr>
      </w:pPr>
      <w:r>
        <w:rPr>
          <w:rFonts w:ascii="宋体" w:hAnsi="宋体" w:cs="宋体"/>
          <w:sz w:val="24"/>
        </w:rPr>
        <w:t xml:space="preserve">7.1 </w:t>
      </w:r>
      <w:r>
        <w:rPr>
          <w:rFonts w:hint="eastAsia" w:ascii="宋体" w:hAnsi="宋体" w:cs="宋体"/>
          <w:sz w:val="24"/>
        </w:rPr>
        <w:t>保证金提交的时间：提交响应文件</w:t>
      </w:r>
      <w:r>
        <w:rPr>
          <w:rFonts w:hint="eastAsia" w:ascii="宋体" w:hAnsi="宋体" w:cs="宋体"/>
          <w:sz w:val="24"/>
          <w:u w:val="single"/>
        </w:rPr>
        <w:t>截止时间前一个工作日下午</w:t>
      </w:r>
      <w:r>
        <w:rPr>
          <w:rFonts w:ascii="宋体" w:hAnsi="宋体" w:cs="宋体"/>
          <w:sz w:val="24"/>
          <w:u w:val="single"/>
        </w:rPr>
        <w:t>17</w:t>
      </w:r>
      <w:r>
        <w:rPr>
          <w:rFonts w:hint="eastAsia" w:ascii="宋体" w:hAnsi="宋体" w:cs="宋体"/>
          <w:sz w:val="24"/>
          <w:u w:val="single"/>
        </w:rPr>
        <w:t>：</w:t>
      </w:r>
      <w:r>
        <w:rPr>
          <w:rFonts w:ascii="宋体" w:cs="宋体"/>
          <w:sz w:val="24"/>
          <w:u w:val="single"/>
        </w:rPr>
        <w:t>00</w:t>
      </w:r>
      <w:r>
        <w:rPr>
          <w:rFonts w:hint="eastAsia" w:ascii="宋体" w:hAnsi="宋体" w:cs="宋体"/>
          <w:sz w:val="24"/>
          <w:u w:val="single"/>
        </w:rPr>
        <w:t>前到达指定帐户，否则视为放弃</w:t>
      </w:r>
      <w:r>
        <w:rPr>
          <w:rFonts w:hint="eastAsia" w:ascii="宋体" w:hAnsi="宋体" w:cs="宋体"/>
          <w:sz w:val="24"/>
        </w:rPr>
        <w:t>；</w:t>
      </w:r>
    </w:p>
    <w:p>
      <w:pPr>
        <w:widowControl/>
        <w:spacing w:before="75" w:after="75" w:line="360" w:lineRule="auto"/>
        <w:ind w:firstLine="482"/>
        <w:rPr>
          <w:rFonts w:ascii="宋体" w:cs="宋体"/>
          <w:sz w:val="24"/>
        </w:rPr>
      </w:pPr>
      <w:r>
        <w:rPr>
          <w:rFonts w:ascii="宋体" w:hAnsi="宋体" w:cs="宋体"/>
          <w:sz w:val="24"/>
        </w:rPr>
        <w:t xml:space="preserve">7.2 </w:t>
      </w:r>
      <w:r>
        <w:rPr>
          <w:rFonts w:hint="eastAsia" w:ascii="宋体" w:hAnsi="宋体" w:cs="宋体"/>
          <w:sz w:val="24"/>
        </w:rPr>
        <w:t>磋商保证金提交的金额：详见</w:t>
      </w:r>
      <w:bookmarkStart w:id="0" w:name="_GoBack"/>
      <w:bookmarkEnd w:id="0"/>
      <w:r>
        <w:rPr>
          <w:rFonts w:hint="eastAsia" w:ascii="宋体" w:hAnsi="宋体" w:cs="宋体"/>
          <w:sz w:val="24"/>
        </w:rPr>
        <w:t>《采购标的一览表》；</w:t>
      </w:r>
    </w:p>
    <w:p>
      <w:pPr>
        <w:widowControl/>
        <w:spacing w:before="75" w:after="75" w:line="360" w:lineRule="auto"/>
        <w:ind w:firstLine="482"/>
        <w:rPr>
          <w:rFonts w:ascii="宋体" w:cs="宋体"/>
          <w:sz w:val="24"/>
        </w:rPr>
      </w:pPr>
      <w:r>
        <w:rPr>
          <w:rFonts w:ascii="宋体" w:hAnsi="宋体" w:cs="宋体"/>
          <w:sz w:val="24"/>
        </w:rPr>
        <w:t xml:space="preserve">7.3 </w:t>
      </w:r>
      <w:r>
        <w:rPr>
          <w:rFonts w:hint="eastAsia" w:ascii="宋体" w:hAnsi="宋体" w:cs="宋体"/>
          <w:sz w:val="24"/>
        </w:rPr>
        <w:t>磋商保证金提交的方式：</w:t>
      </w:r>
    </w:p>
    <w:p>
      <w:pPr>
        <w:widowControl/>
        <w:spacing w:before="75" w:after="75" w:line="360" w:lineRule="auto"/>
        <w:ind w:firstLine="482"/>
        <w:rPr>
          <w:rFonts w:ascii="宋体" w:hAnsi="宋体" w:cs="宋体"/>
          <w:sz w:val="24"/>
        </w:rPr>
      </w:pPr>
      <w:r>
        <w:rPr>
          <w:rFonts w:hint="eastAsia" w:ascii="宋体" w:hAnsi="宋体" w:cs="宋体"/>
          <w:sz w:val="24"/>
        </w:rPr>
        <w:t>①由企业以电汇或银行转账的形式，汇到磋商采购公告中采购人指定的磋商保证金账户（</w:t>
      </w:r>
      <w:r>
        <w:rPr>
          <w:rFonts w:hint="eastAsia" w:ascii="宋体" w:hAnsi="宋体" w:cs="宋体"/>
          <w:color w:val="FF0000"/>
          <w:sz w:val="24"/>
        </w:rPr>
        <w:t>开户银行：兴业银行延平支行；账户名称：福建晖源工程咨询有限公司；账号：192010100100163821</w:t>
      </w:r>
      <w:r>
        <w:rPr>
          <w:rFonts w:hint="eastAsia" w:ascii="宋体" w:hAnsi="宋体" w:cs="宋体"/>
          <w:sz w:val="24"/>
        </w:rPr>
        <w:t>，并应在电汇或银行转账单上的备注栏注明“（项目名称可简写</w:t>
      </w:r>
      <w:r>
        <w:rPr>
          <w:rFonts w:ascii="宋体" w:hAnsi="宋体" w:cs="宋体"/>
          <w:sz w:val="24"/>
        </w:rPr>
        <w:t>)</w:t>
      </w:r>
      <w:r>
        <w:rPr>
          <w:rFonts w:hint="eastAsia" w:ascii="宋体" w:hAnsi="宋体" w:cs="宋体"/>
          <w:sz w:val="24"/>
        </w:rPr>
        <w:t>或“采购编号</w:t>
      </w:r>
      <w:r>
        <w:rPr>
          <w:rFonts w:ascii="宋体" w:hAnsi="宋体" w:cs="宋体"/>
          <w:sz w:val="24"/>
        </w:rPr>
        <w:t xml:space="preserve"> </w:t>
      </w:r>
      <w:r>
        <w:rPr>
          <w:rFonts w:hint="eastAsia" w:ascii="宋体" w:hAnsi="宋体" w:cs="宋体"/>
          <w:sz w:val="24"/>
        </w:rPr>
        <w:t>”字样”。</w:t>
      </w:r>
      <w:r>
        <w:rPr>
          <w:rFonts w:ascii="宋体" w:hAnsi="宋体" w:cs="宋体"/>
          <w:sz w:val="24"/>
        </w:rPr>
        <w:t>[ a</w:t>
      </w:r>
      <w:r>
        <w:rPr>
          <w:rFonts w:hint="eastAsia" w:ascii="宋体" w:hAnsi="宋体" w:cs="宋体"/>
          <w:sz w:val="24"/>
        </w:rPr>
        <w:t>、供应商应认真核对账户信息，将磋商保证金汇入以上账户，并自行承担因汇错磋商保证金而产生的一切后果；</w:t>
      </w:r>
      <w:r>
        <w:rPr>
          <w:rFonts w:ascii="宋体" w:hAnsi="宋体" w:cs="宋体"/>
          <w:sz w:val="24"/>
        </w:rPr>
        <w:t>b</w:t>
      </w:r>
      <w:r>
        <w:rPr>
          <w:rFonts w:hint="eastAsia" w:ascii="宋体" w:hAnsi="宋体" w:cs="宋体"/>
          <w:sz w:val="24"/>
        </w:rPr>
        <w:t>、</w:t>
      </w:r>
      <w:r>
        <w:rPr>
          <w:rFonts w:hint="eastAsia" w:ascii="宋体" w:hAnsi="宋体" w:cs="宋体"/>
          <w:color w:val="FF0000"/>
          <w:sz w:val="24"/>
        </w:rPr>
        <w:t>响应文件截止时间前一个工作日下午</w:t>
      </w:r>
      <w:r>
        <w:rPr>
          <w:rFonts w:ascii="宋体" w:hAnsi="宋体" w:cs="宋体"/>
          <w:color w:val="FF0000"/>
          <w:sz w:val="24"/>
        </w:rPr>
        <w:t>17</w:t>
      </w:r>
      <w:r>
        <w:rPr>
          <w:rFonts w:hint="eastAsia" w:ascii="宋体" w:hAnsi="宋体" w:cs="宋体"/>
          <w:color w:val="FF0000"/>
          <w:sz w:val="24"/>
        </w:rPr>
        <w:t>：</w:t>
      </w:r>
      <w:r>
        <w:rPr>
          <w:rFonts w:ascii="宋体" w:cs="宋体"/>
          <w:color w:val="FF0000"/>
          <w:sz w:val="24"/>
        </w:rPr>
        <w:t>00</w:t>
      </w:r>
      <w:r>
        <w:rPr>
          <w:rFonts w:hint="eastAsia" w:ascii="宋体" w:hAnsi="宋体" w:cs="宋体"/>
          <w:color w:val="FF0000"/>
          <w:sz w:val="24"/>
        </w:rPr>
        <w:t>前到达指定帐户</w:t>
      </w:r>
      <w:r>
        <w:rPr>
          <w:rFonts w:hint="eastAsia" w:ascii="宋体" w:hAnsi="宋体" w:cs="宋体"/>
          <w:sz w:val="24"/>
        </w:rPr>
        <w:t>（以银行收款通知为准），否则视为未缴纳磋商保证金。</w:t>
      </w:r>
      <w:r>
        <w:rPr>
          <w:rFonts w:ascii="宋体" w:hAnsi="宋体" w:cs="宋体"/>
          <w:sz w:val="24"/>
        </w:rPr>
        <w:t>]</w:t>
      </w:r>
    </w:p>
    <w:p>
      <w:pPr>
        <w:widowControl/>
        <w:spacing w:before="75" w:after="75" w:line="360" w:lineRule="auto"/>
        <w:ind w:firstLine="482"/>
        <w:rPr>
          <w:rFonts w:ascii="宋体" w:cs="宋体"/>
          <w:sz w:val="24"/>
        </w:rPr>
      </w:pPr>
      <w:r>
        <w:rPr>
          <w:rFonts w:hint="eastAsia" w:ascii="宋体" w:hAnsi="宋体" w:cs="宋体"/>
          <w:sz w:val="24"/>
        </w:rPr>
        <w:t>②供应商以银行保函形式提交</w:t>
      </w:r>
      <w:r>
        <w:rPr>
          <w:rFonts w:hint="eastAsia" w:ascii="宋体" w:hAnsi="宋体" w:cs="宋体"/>
          <w:sz w:val="24"/>
          <w:lang w:val="en-US" w:eastAsia="zh-CN"/>
        </w:rPr>
        <w:t>磋商</w:t>
      </w:r>
      <w:r>
        <w:rPr>
          <w:rFonts w:hint="eastAsia" w:ascii="宋体" w:hAnsi="宋体" w:cs="宋体"/>
          <w:sz w:val="24"/>
        </w:rPr>
        <w:t>保证金的，供应商应将银行保函原件随同响应文件一并提交给采购人，否则视为未按规定提交</w:t>
      </w:r>
      <w:r>
        <w:rPr>
          <w:rFonts w:hint="eastAsia" w:ascii="宋体" w:hAnsi="宋体" w:cs="宋体"/>
          <w:sz w:val="24"/>
          <w:lang w:val="en-US" w:eastAsia="zh-CN"/>
        </w:rPr>
        <w:t>磋商</w:t>
      </w:r>
      <w:r>
        <w:rPr>
          <w:rFonts w:hint="eastAsia" w:ascii="宋体" w:hAnsi="宋体" w:cs="宋体"/>
          <w:sz w:val="24"/>
        </w:rPr>
        <w:t>保证金，做否决投标处理。</w:t>
      </w:r>
    </w:p>
    <w:p>
      <w:pPr>
        <w:widowControl/>
        <w:spacing w:before="75" w:after="75" w:line="435" w:lineRule="atLeast"/>
        <w:ind w:firstLine="465"/>
        <w:jc w:val="left"/>
        <w:rPr>
          <w:rFonts w:asci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hint="eastAsia" w:ascii="宋体" w:hAnsi="宋体"/>
          <w:sz w:val="24"/>
          <w:szCs w:val="24"/>
        </w:rPr>
        <w:t>请参加磋商的供应商购买磋商文件并应</w:t>
      </w:r>
      <w:r>
        <w:rPr>
          <w:rFonts w:hint="eastAsia" w:ascii="宋体" w:hAnsi="宋体" w:cs="宋体"/>
          <w:kern w:val="1"/>
          <w:sz w:val="24"/>
          <w:szCs w:val="24"/>
        </w:rPr>
        <w:t>随时关注有关本项目磋商的相关信息，</w:t>
      </w:r>
      <w:r>
        <w:rPr>
          <w:rFonts w:hint="eastAsia" w:ascii="宋体" w:hAnsi="宋体"/>
          <w:sz w:val="24"/>
          <w:szCs w:val="24"/>
        </w:rPr>
        <w:t>以免错漏重要信息。</w:t>
      </w:r>
    </w:p>
    <w:p>
      <w:pPr>
        <w:widowControl/>
        <w:spacing w:before="75" w:after="75" w:line="360" w:lineRule="auto"/>
        <w:jc w:val="left"/>
        <w:rPr>
          <w:rFonts w:ascii="宋体" w:hAnsi="宋体"/>
          <w:sz w:val="24"/>
          <w:szCs w:val="24"/>
        </w:rPr>
      </w:pPr>
      <w:r>
        <w:rPr>
          <w:kern w:val="0"/>
        </w:rPr>
        <w:t xml:space="preserve">     </w:t>
      </w:r>
      <w:r>
        <w:rPr>
          <w:rFonts w:ascii="宋体" w:hAnsi="宋体"/>
          <w:sz w:val="24"/>
          <w:szCs w:val="24"/>
        </w:rPr>
        <w:t>9</w:t>
      </w:r>
      <w:r>
        <w:rPr>
          <w:rFonts w:hint="eastAsia" w:ascii="宋体" w:hAnsi="宋体"/>
          <w:sz w:val="24"/>
          <w:szCs w:val="24"/>
        </w:rPr>
        <w:t>、发布公告的媒介</w:t>
      </w:r>
    </w:p>
    <w:p>
      <w:pPr>
        <w:widowControl/>
        <w:spacing w:before="75" w:after="75" w:line="360" w:lineRule="auto"/>
        <w:ind w:firstLine="480" w:firstLineChars="200"/>
        <w:jc w:val="left"/>
        <w:rPr>
          <w:rFonts w:ascii="宋体" w:hAnsi="宋体"/>
          <w:sz w:val="24"/>
          <w:szCs w:val="24"/>
        </w:rPr>
      </w:pPr>
      <w:r>
        <w:rPr>
          <w:rFonts w:hint="eastAsia" w:ascii="宋体" w:hAnsi="宋体"/>
          <w:sz w:val="24"/>
          <w:szCs w:val="24"/>
        </w:rPr>
        <w:t>本次采购公告同时在中国招标投标公共服务平台（http://www.cebpubservice.com/）、海易招电子招标投标交易平台（www.hyebid.cn）、中国招标网（https://www.zhaobiao.cn/）、南平武夷发展集团有限公司官网（http://www.wuyijt.com/）、南平武夷发展集团有限公司微信公众号上发布。</w:t>
      </w:r>
    </w:p>
    <w:p>
      <w:pPr>
        <w:widowControl/>
        <w:spacing w:before="75" w:after="75"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、联系方式</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采购人：南平武夷交通发展有限公司</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地址：福建省南平市建阳区武夷新区将口组团武夷山东站站前北路1号</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邮编：354200</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联系人：陈先生</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电话：18960673312</w:t>
      </w:r>
      <w:r>
        <w:rPr>
          <w:rFonts w:ascii="宋体" w:hAnsi="宋体"/>
          <w:sz w:val="24"/>
          <w:szCs w:val="24"/>
        </w:rPr>
        <w:t xml:space="preserve"> </w:t>
      </w:r>
    </w:p>
    <w:p>
      <w:pPr>
        <w:widowControl/>
        <w:spacing w:before="75" w:after="75" w:line="435" w:lineRule="atLeast"/>
        <w:ind w:firstLine="480"/>
        <w:jc w:val="left"/>
        <w:rPr>
          <w:rFonts w:ascii="宋体" w:cs="宋体"/>
          <w:kern w:val="0"/>
          <w:sz w:val="24"/>
          <w:szCs w:val="24"/>
          <w:u w:val="single"/>
        </w:rPr>
      </w:pP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代理机构：福建晖源工程咨询有限公司</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地址：南平市武夷新区建安大街</w:t>
      </w:r>
      <w:r>
        <w:rPr>
          <w:rFonts w:ascii="宋体" w:hAnsi="宋体"/>
          <w:sz w:val="24"/>
          <w:szCs w:val="24"/>
        </w:rPr>
        <w:t>318</w:t>
      </w:r>
      <w:r>
        <w:rPr>
          <w:rFonts w:hint="eastAsia" w:ascii="宋体" w:hAnsi="宋体"/>
          <w:sz w:val="24"/>
          <w:szCs w:val="24"/>
        </w:rPr>
        <w:t>号赤岸统建房</w:t>
      </w:r>
      <w:r>
        <w:rPr>
          <w:rFonts w:ascii="宋体" w:hAnsi="宋体"/>
          <w:sz w:val="24"/>
          <w:szCs w:val="24"/>
        </w:rPr>
        <w:t>A</w:t>
      </w:r>
      <w:r>
        <w:rPr>
          <w:rFonts w:hint="eastAsia" w:ascii="宋体" w:hAnsi="宋体"/>
          <w:sz w:val="24"/>
          <w:szCs w:val="24"/>
        </w:rPr>
        <w:t>区</w:t>
      </w:r>
      <w:r>
        <w:rPr>
          <w:rFonts w:ascii="宋体" w:hAnsi="宋体"/>
          <w:sz w:val="24"/>
          <w:szCs w:val="24"/>
        </w:rPr>
        <w:t>4</w:t>
      </w:r>
      <w:r>
        <w:rPr>
          <w:rFonts w:hint="eastAsia" w:ascii="宋体" w:hAnsi="宋体"/>
          <w:sz w:val="24"/>
          <w:szCs w:val="24"/>
        </w:rPr>
        <w:t>号楼</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联系人：刘女士</w:t>
      </w:r>
    </w:p>
    <w:p>
      <w:pPr>
        <w:widowControl/>
        <w:spacing w:before="75" w:after="75" w:line="360" w:lineRule="auto"/>
        <w:ind w:firstLine="720" w:firstLineChars="300"/>
        <w:jc w:val="left"/>
        <w:rPr>
          <w:rFonts w:ascii="宋体" w:hAnsi="宋体"/>
          <w:sz w:val="24"/>
          <w:szCs w:val="24"/>
        </w:rPr>
      </w:pPr>
      <w:r>
        <w:rPr>
          <w:rFonts w:hint="eastAsia" w:ascii="宋体" w:hAnsi="宋体"/>
          <w:sz w:val="24"/>
          <w:szCs w:val="24"/>
        </w:rPr>
        <w:t>联系方法：</w:t>
      </w:r>
      <w:r>
        <w:rPr>
          <w:rFonts w:ascii="宋体" w:hAnsi="宋体"/>
          <w:sz w:val="24"/>
          <w:szCs w:val="24"/>
        </w:rPr>
        <w:t>0599-8314701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968DF"/>
    <w:rsid w:val="703A0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character" w:customStyle="1" w:styleId="5">
    <w:name w:val="MSG_EN_FONT_STYLE_NAME_TEMPLATE_ROLE_NUMBER MSG_EN_FONT_STYLE_NAME_BY_ROLE_TEXT 7_"/>
    <w:link w:val="6"/>
    <w:unhideWhenUsed/>
    <w:qFormat/>
    <w:uiPriority w:val="99"/>
    <w:rPr>
      <w:rFonts w:ascii="宋体" w:hAnsi="宋体" w:eastAsia="黑体"/>
    </w:rPr>
  </w:style>
  <w:style w:type="paragraph" w:customStyle="1" w:styleId="6">
    <w:name w:val="MSG_EN_FONT_STYLE_NAME_TEMPLATE_ROLE_NUMBER MSG_EN_FONT_STYLE_NAME_BY_ROLE_TEXT 7"/>
    <w:basedOn w:val="1"/>
    <w:link w:val="5"/>
    <w:unhideWhenUsed/>
    <w:qFormat/>
    <w:uiPriority w:val="99"/>
    <w:pPr>
      <w:shd w:val="clear" w:color="auto" w:fill="FFFFFF"/>
      <w:spacing w:before="340" w:after="220" w:line="200" w:lineRule="exact"/>
      <w:ind w:firstLine="200" w:firstLineChars="200"/>
      <w:jc w:val="distribute"/>
    </w:pPr>
    <w:rPr>
      <w:rFonts w:ascii="宋体" w:hAnsi="宋体"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2022-11-15T03:05:00Z</dcterms:created>
  <dc:creator>lenovo</dc:creator>
  <cp:lastModifiedBy>lenovo</cp:lastModifiedBy>
  <cp:lastPrinted>2022-11-15T03:06:00Z</cp:lastPrinted>
  <dcterms:modified xsi:type="dcterms:W3CDTF">2022-11-16T08:51:06Z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