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招标公告</w:t>
      </w:r>
    </w:p>
    <w:p>
      <w:pPr>
        <w:spacing w:line="520" w:lineRule="exact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招标编号：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FJHY-2022（YP）-01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号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zh-CN"/>
        </w:rPr>
        <w:t>南平武夷大成开发建设有限公司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委托，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福建华亿建设咨询有限公司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南平武夷大成开发建设有限公司招录班组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库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项目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进行公开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，现欢迎合格的投标人前来提交密封的投标文件。</w:t>
      </w:r>
      <w:bookmarkStart w:id="0" w:name="_Toc396218694"/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南平武夷大成开发建设有限公司招录班组库项目（商品（水泥）混凝土、水稳混合料加工供应商）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内容: </w:t>
      </w: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商品（水泥）混凝土、水稳混合料加工供应商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；</w:t>
      </w:r>
      <w:bookmarkEnd w:id="0"/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招标文件购买时间：202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14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30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每天上午8：30至11：30；下午3：00至5：30（北京时间）购买招标文件。招标文件购买地点：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福建华亿建设咨询有限公司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（南平市延平区工业路7号锦江花苑商业区一层）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招标文件售价:（纸质或电子）每套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hint="eastAsia" w:hAnsi="宋体"/>
          <w:color w:val="auto"/>
          <w:sz w:val="24"/>
          <w:szCs w:val="24"/>
          <w:highlight w:val="none"/>
        </w:rPr>
        <w:t>若邮寄，另加</w:t>
      </w:r>
      <w:r>
        <w:rPr>
          <w:rFonts w:hint="eastAsia" w:hAnsi="宋体"/>
          <w:color w:val="auto"/>
          <w:sz w:val="24"/>
          <w:szCs w:val="24"/>
          <w:highlight w:val="none"/>
          <w:u w:val="single"/>
        </w:rPr>
        <w:t>50元</w:t>
      </w:r>
      <w:r>
        <w:rPr>
          <w:rFonts w:hint="eastAsia" w:hAnsi="宋体"/>
          <w:color w:val="auto"/>
          <w:sz w:val="24"/>
          <w:szCs w:val="24"/>
          <w:highlight w:val="none"/>
        </w:rPr>
        <w:t>特快专递费，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福建华亿建设咨询有限公司</w:t>
      </w:r>
      <w:r>
        <w:rPr>
          <w:rFonts w:hint="eastAsia" w:hAnsi="宋体"/>
          <w:color w:val="auto"/>
          <w:sz w:val="24"/>
          <w:szCs w:val="24"/>
          <w:highlight w:val="none"/>
        </w:rPr>
        <w:t>不对邮寄过程中可能发生的延误或丢失负责。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招标文件售出一概不退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未购买招标文件者的投标将被拒绝。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、递交投标文件时间：投标文件应于［20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10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8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15:30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］（北京时间）之前提交到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福建华亿建设咨询有限公司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福建省南平市建阳区云谷小区B区瑞云苑8号楼901室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），逾期送达的或不符合规定的投标文件将被拒绝。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、投标截止时间：202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10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8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0分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、开标时间：202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10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8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0分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、开标地点：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福建华亿建设咨询有限公司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福建省南平市建阳区云谷小区B区瑞云苑8号楼901室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、有关本项目招标的相关信息(包括招标文件若有修改、补充)，我司将通过中国政府采购网（http://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instrText xml:space="preserve"> HYPERLINK "http://www.ccgp.gov.cn" \t "_blank" </w:instrTex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www.ccgp.gov.cn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媒介发布通知，请潜在供应商随时关注相关网站，以免错漏重要信息。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、采购人、招标代理机构的名称、地址和联系方式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采购人联系方式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采购人名称：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南平武夷大成开发建设有限公司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采购人地址：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南平市建阳区童游街道南林林产工贸园区（碧全集团工厂对面）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陈先生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18650638229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招标代理机构名称：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福建华亿建设咨询有限公司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招标代理机构地点：福建省南平市建阳区云谷小区B区瑞云苑8号楼901室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招标代理机构联系人：郑先生，电话：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176 8930 8570 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520" w:lineRule="exact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080" w:bottom="1440" w:left="1080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numPr>
          <w:ilvl w:val="0"/>
          <w:numId w:val="0"/>
        </w:numPr>
        <w:spacing w:before="0" w:after="0" w:line="360" w:lineRule="auto"/>
        <w:jc w:val="center"/>
        <w:rPr>
          <w:rFonts w:hint="eastAsia"/>
          <w:color w:val="auto"/>
          <w:szCs w:val="30"/>
          <w:highlight w:val="none"/>
          <w:shd w:val="clear" w:color="auto" w:fill="auto"/>
        </w:rPr>
      </w:pPr>
      <w:r>
        <w:rPr>
          <w:rFonts w:hint="eastAsia"/>
          <w:color w:val="auto"/>
          <w:szCs w:val="30"/>
          <w:highlight w:val="none"/>
          <w:shd w:val="clear" w:color="auto" w:fill="auto"/>
          <w:lang w:eastAsia="zh-CN"/>
        </w:rPr>
        <w:t>投标</w:t>
      </w:r>
      <w:r>
        <w:rPr>
          <w:rFonts w:hint="eastAsia"/>
          <w:color w:val="auto"/>
          <w:szCs w:val="30"/>
          <w:highlight w:val="none"/>
          <w:shd w:val="clear" w:color="auto" w:fill="auto"/>
        </w:rPr>
        <w:t>应知</w:t>
      </w:r>
    </w:p>
    <w:p>
      <w:pPr>
        <w:pStyle w:val="4"/>
        <w:rPr>
          <w:rFonts w:hint="eastAsia"/>
          <w:color w:val="auto"/>
          <w:highlight w:val="none"/>
        </w:rPr>
      </w:pPr>
    </w:p>
    <w:p>
      <w:pPr>
        <w:pStyle w:val="3"/>
        <w:numPr>
          <w:ilvl w:val="0"/>
          <w:numId w:val="0"/>
        </w:numPr>
        <w:spacing w:before="0" w:after="0"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" w:name="_Toc48476458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1、购买招标文件（办理报名手续）事宜</w:t>
      </w:r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235" w:firstLineChars="98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（1）购买招标文件事宜联系人：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郑先生、左小姐</w:t>
      </w:r>
    </w:p>
    <w:p>
      <w:pPr>
        <w:spacing w:line="360" w:lineRule="auto"/>
        <w:ind w:firstLine="235" w:firstLineChars="98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联系电话：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17689308570、13859373611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</w:t>
      </w:r>
    </w:p>
    <w:p>
      <w:pPr>
        <w:spacing w:line="360" w:lineRule="auto"/>
        <w:ind w:firstLine="2632" w:firstLineChars="1097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电子信箱：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940731767@qq.com</w:t>
      </w:r>
    </w:p>
    <w:p>
      <w:pPr>
        <w:spacing w:line="360" w:lineRule="auto"/>
        <w:ind w:firstLine="235" w:firstLineChars="98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（注：非招标文件购买事宜，请联系本项目的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代理机构联系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人。）</w:t>
      </w:r>
    </w:p>
    <w:p>
      <w:pPr>
        <w:spacing w:line="360" w:lineRule="auto"/>
        <w:ind w:firstLine="236" w:firstLineChars="98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 （2）购买招标文件方式：</w:t>
      </w:r>
    </w:p>
    <w:p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A. 现场办理购买招标文件事宜的投标人，可至我司办理书面报名登记。</w:t>
      </w:r>
    </w:p>
    <w:p>
      <w:pPr>
        <w:spacing w:line="360" w:lineRule="auto"/>
        <w:ind w:firstLine="472" w:firstLineChars="19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B. 采用邮件方式办理购买招标文件事宜的投标人，务必先电话联系。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照本项目相关网站上发布的招标公告提供的我司银行账号等信息，转账相应的标书款至我司账户，同时将转账底单截图及贵公司相关信息（含公司名称、联系人、手机、公司电话、传真、电子邮箱、公司地址、纳税人识别号、参与投标的项目名称及招标文件编号等）编辑完整并发邮件至我司的电子信箱。</w:t>
      </w:r>
    </w:p>
    <w:p>
      <w:pPr>
        <w:pStyle w:val="11"/>
        <w:spacing w:line="360" w:lineRule="auto"/>
        <w:ind w:firstLine="472" w:firstLineChars="196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2、开具发票事宜：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根据税务机关的要求，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（除发票抬头为个人或政府部门等无税号单位外）购买招标文件或缴纳中标服务费若需开具发票，须提供与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公章一致的单位名称和纳税人识别号（即统一社会信用代码），若采用转账方式的，应在转账时备注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纳税人识别号（即统一社会信用代码）。若因未及时提供或提供错误信息造成的开票问题，我司概不承担责任（不提供换票或补票等服务）。</w:t>
      </w:r>
    </w:p>
    <w:p>
      <w:pPr>
        <w:pStyle w:val="11"/>
        <w:spacing w:line="360" w:lineRule="auto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   3、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投标保证金退还事宜：</w:t>
      </w:r>
    </w:p>
    <w:p>
      <w:pPr>
        <w:pStyle w:val="11"/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投标人制作投标文件时，应将《退回保证金说明函》（含清晰准确的投标保证金缴款凭证复印件）另册制作一套并加盖公章装在一单独的信封内密封提交。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签订合同后将合同原件（或加盖公章及骑缝章的复印件）及《退回保证金说明函》（含清晰准确的投标保证金缴款凭证复印件）送至或邮寄至我司退回保证金（不接收传真件）。否则由此造成投标保证金无法及时退还的，我司概不承担责任。</w:t>
      </w:r>
    </w:p>
    <w:p>
      <w:pPr>
        <w:pStyle w:val="11"/>
        <w:spacing w:line="360" w:lineRule="auto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  4、关于投标人名称：</w:t>
      </w:r>
    </w:p>
    <w:p>
      <w:pPr>
        <w:pStyle w:val="11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递交投标文件时投标人的单位名称应与购买招标文件（办理报名手续）登记的单位名称完全一致。除能提供工商管理部门出具的单位名称变更证明外，否则我司将拒绝接收投标文件。投标保证金出账账户名称应与投标人名称一致，否则将导致投标无效。</w:t>
      </w:r>
    </w:p>
    <w:p>
      <w:pPr>
        <w:pStyle w:val="1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footerReference r:id="rId11" w:type="first"/>
          <w:headerReference r:id="rId8" w:type="default"/>
          <w:footerReference r:id="rId9" w:type="default"/>
          <w:footerReference r:id="rId10" w:type="even"/>
          <w:pgSz w:w="11907" w:h="16840"/>
          <w:pgMar w:top="1134" w:right="992" w:bottom="1134" w:left="1701" w:header="720" w:footer="720" w:gutter="0"/>
          <w:pgNumType w:fmt="decimal"/>
          <w:cols w:space="720" w:num="1"/>
          <w:titlePg/>
        </w:sectPr>
      </w:pPr>
    </w:p>
    <w:p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附：招标服务一览表</w:t>
      </w:r>
    </w:p>
    <w:p>
      <w:pPr>
        <w:pStyle w:val="3"/>
        <w:numPr>
          <w:ilvl w:val="0"/>
          <w:numId w:val="0"/>
        </w:numPr>
        <w:spacing w:before="120" w:line="360" w:lineRule="auto"/>
        <w:rPr>
          <w:rFonts w:ascii="宋体" w:hAnsi="宋体"/>
          <w:color w:val="auto"/>
          <w:szCs w:val="30"/>
          <w:highlight w:val="none"/>
        </w:rPr>
      </w:pPr>
      <w:bookmarkStart w:id="2" w:name="_Toc484764585"/>
      <w:r>
        <w:rPr>
          <w:rFonts w:hint="eastAsia" w:ascii="宋体" w:hAnsi="宋体"/>
          <w:color w:val="auto"/>
          <w:szCs w:val="30"/>
          <w:highlight w:val="none"/>
        </w:rPr>
        <w:t>招标服务一览表</w:t>
      </w:r>
      <w:bookmarkEnd w:id="2"/>
    </w:p>
    <w:tbl>
      <w:tblPr>
        <w:tblStyle w:val="8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25"/>
        <w:gridCol w:w="1309"/>
        <w:gridCol w:w="1260"/>
        <w:gridCol w:w="1813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018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合同包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pStyle w:val="5"/>
              <w:ind w:firstLine="482" w:firstLineChars="200"/>
              <w:jc w:val="both"/>
              <w:rPr>
                <w:rFonts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备选供应商数量（名）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jc w:val="center"/>
              <w:rPr>
                <w:rFonts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主要技术（服务）要求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投标保证金（元）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01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hAns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hAnsi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商品（水泥）混凝土、水稳混合料加工供应商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3-6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详见第</w:t>
            </w:r>
            <w:r>
              <w:rPr>
                <w:rFonts w:hint="eastAsia" w:hAns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章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10000</w:t>
            </w:r>
          </w:p>
        </w:tc>
      </w:tr>
    </w:tbl>
    <w:p>
      <w:pPr>
        <w:pStyle w:val="5"/>
        <w:tabs>
          <w:tab w:val="left" w:pos="8360"/>
        </w:tabs>
        <w:spacing w:line="360" w:lineRule="auto"/>
        <w:jc w:val="left"/>
        <w:rPr>
          <w:rFonts w:hint="eastAsia" w:hAnsi="宋体"/>
          <w:color w:val="auto"/>
          <w:sz w:val="24"/>
          <w:szCs w:val="24"/>
          <w:highlight w:val="none"/>
        </w:rPr>
      </w:pPr>
    </w:p>
    <w:p>
      <w:pPr>
        <w:pStyle w:val="5"/>
        <w:tabs>
          <w:tab w:val="left" w:pos="8360"/>
        </w:tabs>
        <w:spacing w:line="360" w:lineRule="auto"/>
        <w:jc w:val="left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注：</w:t>
      </w:r>
    </w:p>
    <w:p>
      <w:pPr>
        <w:pStyle w:val="11"/>
        <w:ind w:firstLine="48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1、以上服务内容及具体要求详见第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章《招标内容及要求》。</w:t>
      </w:r>
    </w:p>
    <w:p>
      <w:pPr>
        <w:pStyle w:val="11"/>
        <w:ind w:firstLine="48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2、投标人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按合同包投标，对合同包内所有品目号内容投标时必须完整。评标与授标以合同包为单位。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3、中标人中标后不得将该项目分包、转包。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baseline"/>
        <w:rPr>
          <w:rFonts w:hint="eastAsia" w:ascii="宋体" w:hAnsi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4、服务期限：以上招录的供应商班组，当我司上级管理部门武夷发展集团建立相应班组库后，将停用或并入武夷发展集团班组库。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200"/>
        <w:tab w:val="clear" w:pos="8306"/>
      </w:tabs>
      <w:ind w:right="8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矩形 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bcmIrXAQAAtwMAAA4AAABkcnMvZTJvRG9jLnhtbK1TzYrbMBC+F/Yd&#10;hO4bO2EpqYmzFMKWhdIubPsAiizHAv0xo8ROX6bQWx+ij1P6Gh3JdrbdXvbQiz0zGn0z3zejze1g&#10;DTspQO1dzZeLkjPlpG+0O9T886e76zVnGIVrhPFO1fyskN9ur15t+lCple+8aRQwAnFY9aHmXYyh&#10;KgqUnbICFz4oR4etBysiuXAoGhA9oVtTrMryddF7aAJ4qRApuhsP+YQILwH0baul2nl5tMrFERWU&#10;EZEoYacD8m3utm2VjB/bFlVkpubENOYvFSF7n77FdiOqA4jQaTm1IF7SwjNOVmhHRS9QOxEFO4L+&#10;B8pqCR59GxfS22IkkhUhFsvymTaPnQgqcyGpMVxEx/8HKz+cHoDppuY35RuavBOWZv7r6/efP76x&#10;HCKF+oAVJT6GB5g8JDPRHVqw6U9E2JBVPV9UVUNkkoLL9Wq9LklwSWezQzjF0/UAGN8pb1kyag40&#10;tqymOL3HOKbOKama83faGIqLyri/AoQ5RlSe/XQ79T92nKw47IeJxt43Z6JPr4Gqdh6+cNbTLtTc&#10;0epzZu4dSZ3WZjZgNvazIZykizWPnB0D6EOXVyw1heHtMVKnmUAqPFYj4smheWYJpt1LC/Onn7Oe&#10;3tv2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CW3JiK1wEAALcDAAAOAAAAAAAAAAEAIAAA&#10;AB8BAABkcnMvZTJvRG9jLnhtbFBLBQYAAAAABgAGAFkBAABo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hd w:val="pct5" w:color="auto" w:fill="auto"/>
      <w:jc w:val="both"/>
      <w:rPr>
        <w:rFonts w:hint="eastAsia" w:ascii="宋体" w:hAnsi="宋体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1657F"/>
    <w:multiLevelType w:val="multilevel"/>
    <w:tmpl w:val="62B1657F"/>
    <w:lvl w:ilvl="0" w:tentative="0">
      <w:start w:val="1"/>
      <w:numFmt w:val="decimal"/>
      <w:lvlText w:val="第 %1 章"/>
      <w:lvlJc w:val="left"/>
      <w:pPr>
        <w:tabs>
          <w:tab w:val="left" w:pos="1440"/>
        </w:tabs>
        <w:ind w:left="0" w:firstLine="0"/>
      </w:pPr>
      <w:rPr>
        <w:rFonts w:hint="eastAsia" w:eastAsia="宋体"/>
        <w:b/>
        <w:i w:val="0"/>
        <w:sz w:val="44"/>
      </w:rPr>
    </w:lvl>
    <w:lvl w:ilvl="1" w:tentative="0">
      <w:start w:val="1"/>
      <w:numFmt w:val="decimal"/>
      <w:pStyle w:val="3"/>
      <w:lvlText w:val="第%2节 "/>
      <w:lvlJc w:val="left"/>
      <w:pPr>
        <w:tabs>
          <w:tab w:val="left" w:pos="3060"/>
        </w:tabs>
        <w:ind w:left="2340" w:firstLine="0"/>
      </w:pPr>
      <w:rPr>
        <w:rFonts w:hint="eastAsia" w:eastAsia="宋体" w:cs="Times New Roman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32"/>
        <w:u w:val="none"/>
        <w:vertAlign w:val="baseline"/>
      </w:rPr>
    </w:lvl>
    <w:lvl w:ilvl="2" w:tentative="0">
      <w:start w:val="1"/>
      <w:numFmt w:val="chineseCountingThousand"/>
      <w:lvlText w:val="%3."/>
      <w:lvlJc w:val="left"/>
      <w:pPr>
        <w:tabs>
          <w:tab w:val="left" w:pos="720"/>
        </w:tabs>
        <w:ind w:left="0" w:firstLine="0"/>
      </w:pPr>
      <w:rPr>
        <w:rFonts w:hint="eastAsia" w:eastAsia="宋体"/>
        <w:b/>
        <w:i w:val="0"/>
        <w:sz w:val="30"/>
      </w:rPr>
    </w:lvl>
    <w:lvl w:ilvl="3" w:tentative="0">
      <w:start w:val="1"/>
      <w:numFmt w:val="chineseCountingThousand"/>
      <w:lvlText w:val="(%4)  "/>
      <w:lvlJc w:val="righ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578"/>
        </w:tabs>
        <w:ind w:left="0" w:firstLine="576"/>
      </w:pPr>
      <w:rPr>
        <w:rFonts w:hint="eastAsia" w:eastAsia="宋体"/>
        <w:b/>
        <w:i w:val="0"/>
        <w:sz w:val="28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WUzYjNiODQ1YmNjNTM0MjMxZmY3ODRiYWRlMDIifQ=="/>
  </w:docVars>
  <w:rsids>
    <w:rsidRoot w:val="083F5817"/>
    <w:rsid w:val="083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5">
    <w:name w:val="Plain Text"/>
    <w:basedOn w:val="1"/>
    <w:uiPriority w:val="0"/>
    <w:rPr>
      <w:rFonts w:ascii="宋体"/>
      <w:kern w:val="2"/>
      <w:sz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21"/>
    </w:rPr>
  </w:style>
  <w:style w:type="character" w:styleId="10">
    <w:name w:val="page number"/>
    <w:basedOn w:val="9"/>
    <w:uiPriority w:val="0"/>
  </w:style>
  <w:style w:type="paragraph" w:customStyle="1" w:styleId="11">
    <w:name w:val="标准"/>
    <w:basedOn w:val="1"/>
    <w:qFormat/>
    <w:uiPriority w:val="0"/>
    <w:pPr>
      <w:spacing w:line="360" w:lineRule="auto"/>
      <w:ind w:firstLine="200" w:firstLineChars="200"/>
    </w:pPr>
    <w:rPr>
      <w:rFonts w:cs="宋体"/>
      <w:szCs w:val="20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2022-09-15T01:39:00Z</dcterms:created>
  <dc:creator>v</dc:creator>
  <cp:lastModifiedBy>v</cp:lastModifiedBy>
  <dcterms:modified xsi:type="dcterms:W3CDTF">2022-09-15T01:39:34Z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0ACCC8CDA99A4229B10B15BBC4EE2DE8</vt:lpwstr>
  </property>
</Properties>
</file>